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23D23" w:rsidRPr="00315AFE" w:rsidRDefault="00923D23" w:rsidP="00923D23">
      <w:pPr>
        <w:jc w:val="center"/>
        <w:rPr>
          <w:rFonts w:ascii="Times New Roman" w:hAnsi="Times New Roman" w:cs="Times New Roman"/>
          <w:sz w:val="24"/>
          <w:szCs w:val="24"/>
        </w:rPr>
      </w:pPr>
      <w:r w:rsidRPr="00315AFE">
        <w:rPr>
          <w:rFonts w:ascii="Times New Roman" w:hAnsi="Times New Roman" w:cs="Times New Roman"/>
          <w:sz w:val="24"/>
          <w:szCs w:val="24"/>
        </w:rPr>
        <w:t>EVALUATION OF AGRICULTURAL EXTENSION AGENTS’ KNOWLEDGE ON DIGITAL METHOD OF SOIL NUTRIENT ASSESSMENT IN SELECTED SOUTHWEST STATES, NIGERIA</w:t>
      </w:r>
    </w:p>
    <w:p w:rsidR="00923D23" w:rsidRDefault="00923D23" w:rsidP="00923D23">
      <w:pPr>
        <w:jc w:val="center"/>
        <w:rPr>
          <w:rFonts w:ascii="Times New Roman" w:hAnsi="Times New Roman" w:cs="Times New Roman"/>
          <w:sz w:val="24"/>
          <w:szCs w:val="24"/>
        </w:rPr>
      </w:pPr>
      <w:r>
        <w:rPr>
          <w:rFonts w:ascii="Times New Roman" w:hAnsi="Times New Roman" w:cs="Times New Roman"/>
          <w:sz w:val="24"/>
          <w:szCs w:val="24"/>
        </w:rPr>
        <w:t>BY</w:t>
      </w:r>
    </w:p>
    <w:p w:rsidR="00923D23" w:rsidRDefault="00923D23" w:rsidP="00923D23">
      <w:pPr>
        <w:jc w:val="center"/>
        <w:rPr>
          <w:rFonts w:ascii="Times New Roman" w:hAnsi="Times New Roman" w:cs="Times New Roman"/>
          <w:sz w:val="24"/>
          <w:szCs w:val="24"/>
        </w:rPr>
      </w:pPr>
    </w:p>
    <w:p w:rsidR="00923D23" w:rsidRDefault="00923D23" w:rsidP="00923D23">
      <w:pPr>
        <w:jc w:val="center"/>
        <w:rPr>
          <w:rFonts w:ascii="Times New Roman" w:hAnsi="Times New Roman" w:cs="Times New Roman"/>
          <w:sz w:val="24"/>
          <w:szCs w:val="24"/>
        </w:rPr>
      </w:pPr>
    </w:p>
    <w:p w:rsidR="00923D23" w:rsidRDefault="00923D23" w:rsidP="00923D23">
      <w:pPr>
        <w:jc w:val="center"/>
        <w:rPr>
          <w:rFonts w:ascii="Times New Roman" w:hAnsi="Times New Roman" w:cs="Times New Roman"/>
          <w:sz w:val="24"/>
          <w:szCs w:val="24"/>
        </w:rPr>
      </w:pPr>
      <w:r>
        <w:rPr>
          <w:rFonts w:ascii="Times New Roman" w:hAnsi="Times New Roman" w:cs="Times New Roman"/>
          <w:sz w:val="24"/>
          <w:szCs w:val="24"/>
        </w:rPr>
        <w:t>DADA, OLUSEGUN EMMANUEL (PG 16/0588)</w:t>
      </w:r>
    </w:p>
    <w:p w:rsidR="00923D23" w:rsidRDefault="00923D23" w:rsidP="00923D23">
      <w:pPr>
        <w:jc w:val="center"/>
        <w:rPr>
          <w:rFonts w:ascii="Times New Roman" w:hAnsi="Times New Roman" w:cs="Times New Roman"/>
          <w:sz w:val="24"/>
          <w:szCs w:val="24"/>
        </w:rPr>
      </w:pPr>
      <w:proofErr w:type="gramStart"/>
      <w:r>
        <w:rPr>
          <w:rFonts w:ascii="Times New Roman" w:hAnsi="Times New Roman" w:cs="Times New Roman"/>
          <w:sz w:val="24"/>
          <w:szCs w:val="24"/>
        </w:rPr>
        <w:t>B.AGRIC.,</w:t>
      </w:r>
      <w:proofErr w:type="gramEnd"/>
      <w:r>
        <w:rPr>
          <w:rFonts w:ascii="Times New Roman" w:hAnsi="Times New Roman" w:cs="Times New Roman"/>
          <w:sz w:val="24"/>
          <w:szCs w:val="24"/>
        </w:rPr>
        <w:t xml:space="preserve"> M.AGRIC. (ABEOKUTA)</w:t>
      </w:r>
    </w:p>
    <w:p w:rsidR="00923D23" w:rsidRDefault="00923D23" w:rsidP="00923D23">
      <w:pPr>
        <w:jc w:val="center"/>
        <w:rPr>
          <w:rFonts w:ascii="Times New Roman" w:hAnsi="Times New Roman" w:cs="Times New Roman"/>
          <w:sz w:val="24"/>
          <w:szCs w:val="24"/>
        </w:rPr>
      </w:pPr>
    </w:p>
    <w:p w:rsidR="00923D23" w:rsidRDefault="00923D23" w:rsidP="00923D23">
      <w:pPr>
        <w:rPr>
          <w:rFonts w:ascii="Times New Roman" w:hAnsi="Times New Roman" w:cs="Times New Roman"/>
          <w:sz w:val="24"/>
          <w:szCs w:val="24"/>
        </w:rPr>
      </w:pPr>
    </w:p>
    <w:p w:rsidR="00923D23" w:rsidRDefault="00923D23" w:rsidP="00923D23">
      <w:pPr>
        <w:jc w:val="center"/>
        <w:rPr>
          <w:rFonts w:ascii="Times New Roman" w:hAnsi="Times New Roman" w:cs="Times New Roman"/>
          <w:sz w:val="24"/>
          <w:szCs w:val="24"/>
        </w:rPr>
      </w:pPr>
    </w:p>
    <w:p w:rsidR="00923D23" w:rsidRDefault="00923D23" w:rsidP="00923D23">
      <w:pPr>
        <w:rPr>
          <w:rFonts w:ascii="Times New Roman" w:hAnsi="Times New Roman" w:cs="Times New Roman"/>
          <w:sz w:val="24"/>
          <w:szCs w:val="24"/>
        </w:rPr>
      </w:pPr>
    </w:p>
    <w:p w:rsidR="00923D23" w:rsidRDefault="00923D23" w:rsidP="00923D23">
      <w:pPr>
        <w:rPr>
          <w:rFonts w:ascii="Times New Roman" w:hAnsi="Times New Roman" w:cs="Times New Roman"/>
          <w:sz w:val="24"/>
          <w:szCs w:val="24"/>
        </w:rPr>
      </w:pPr>
    </w:p>
    <w:p w:rsidR="00923D23" w:rsidRDefault="00923D23" w:rsidP="00923D23">
      <w:pPr>
        <w:jc w:val="center"/>
        <w:rPr>
          <w:rFonts w:ascii="Times New Roman" w:hAnsi="Times New Roman" w:cs="Times New Roman"/>
          <w:sz w:val="24"/>
          <w:szCs w:val="24"/>
        </w:rPr>
      </w:pPr>
      <w:r>
        <w:rPr>
          <w:rFonts w:ascii="Times New Roman" w:hAnsi="Times New Roman" w:cs="Times New Roman"/>
          <w:sz w:val="24"/>
          <w:szCs w:val="24"/>
        </w:rPr>
        <w:t>A THESIS SUBMITTED TO THE DEPARTMENT OF AGRICULTURAL EXTENSION AND RURAL DEVELOPMENT, COLLEGE OF AGRICULTURAL MANAGEMENT AND RURAL DEVELOPMENT, FEDERAL UNIVERSITY OF AGRICULTURE, ABEOKUTA IN PARTIAL FULFILLMENT OF THE REQUIREMENTS FOR THE AWARD OF DEGREE OF DOCTOR OF PHILOSOPHY IN AGRICULTURAL EXTENSION AND INNOVATION STUDIES</w:t>
      </w:r>
    </w:p>
    <w:p w:rsidR="00923D23" w:rsidRDefault="00923D23" w:rsidP="00923D23">
      <w:pPr>
        <w:jc w:val="center"/>
        <w:rPr>
          <w:rFonts w:ascii="Times New Roman" w:hAnsi="Times New Roman" w:cs="Times New Roman"/>
          <w:sz w:val="24"/>
          <w:szCs w:val="24"/>
        </w:rPr>
      </w:pPr>
    </w:p>
    <w:p w:rsidR="00923D23" w:rsidRDefault="00923D23" w:rsidP="00923D23">
      <w:pPr>
        <w:jc w:val="center"/>
        <w:rPr>
          <w:rFonts w:ascii="Times New Roman" w:hAnsi="Times New Roman" w:cs="Times New Roman"/>
          <w:sz w:val="24"/>
          <w:szCs w:val="24"/>
        </w:rPr>
      </w:pPr>
    </w:p>
    <w:p w:rsidR="00923D23" w:rsidRDefault="00923D23" w:rsidP="00923D23">
      <w:pPr>
        <w:jc w:val="center"/>
        <w:rPr>
          <w:rFonts w:ascii="Times New Roman" w:hAnsi="Times New Roman" w:cs="Times New Roman"/>
          <w:sz w:val="24"/>
          <w:szCs w:val="24"/>
        </w:rPr>
      </w:pPr>
    </w:p>
    <w:p w:rsidR="00923D23" w:rsidRDefault="00923D23" w:rsidP="00923D23">
      <w:pPr>
        <w:jc w:val="center"/>
        <w:rPr>
          <w:rFonts w:ascii="Times New Roman" w:hAnsi="Times New Roman" w:cs="Times New Roman"/>
          <w:sz w:val="24"/>
          <w:szCs w:val="24"/>
        </w:rPr>
      </w:pPr>
    </w:p>
    <w:p w:rsidR="00923D23" w:rsidRDefault="00923D23" w:rsidP="00923D23">
      <w:pPr>
        <w:jc w:val="center"/>
        <w:rPr>
          <w:rFonts w:ascii="Times New Roman" w:hAnsi="Times New Roman" w:cs="Times New Roman"/>
          <w:sz w:val="24"/>
          <w:szCs w:val="24"/>
        </w:rPr>
      </w:pPr>
    </w:p>
    <w:p w:rsidR="00923D23" w:rsidRDefault="00923D23" w:rsidP="00923D23">
      <w:pPr>
        <w:jc w:val="center"/>
        <w:rPr>
          <w:rFonts w:ascii="Times New Roman" w:hAnsi="Times New Roman" w:cs="Times New Roman"/>
          <w:sz w:val="24"/>
          <w:szCs w:val="24"/>
        </w:rPr>
      </w:pPr>
    </w:p>
    <w:p w:rsidR="00923D23" w:rsidRDefault="00923D23" w:rsidP="00923D23">
      <w:pPr>
        <w:jc w:val="center"/>
        <w:rPr>
          <w:rFonts w:ascii="Times New Roman" w:hAnsi="Times New Roman" w:cs="Times New Roman"/>
          <w:sz w:val="24"/>
          <w:szCs w:val="24"/>
        </w:rPr>
      </w:pPr>
    </w:p>
    <w:p w:rsidR="00923D23" w:rsidRPr="007D189B" w:rsidRDefault="00923D23" w:rsidP="00923D23">
      <w:pPr>
        <w:jc w:val="center"/>
        <w:rPr>
          <w:rFonts w:ascii="Times New Roman" w:hAnsi="Times New Roman" w:cs="Times New Roman"/>
          <w:sz w:val="24"/>
          <w:szCs w:val="24"/>
        </w:rPr>
      </w:pPr>
      <w:r>
        <w:rPr>
          <w:rFonts w:ascii="Times New Roman" w:hAnsi="Times New Roman" w:cs="Times New Roman"/>
          <w:sz w:val="24"/>
          <w:szCs w:val="24"/>
        </w:rPr>
        <w:t>OCTOBER, 2024</w:t>
      </w:r>
    </w:p>
    <w:p w:rsidR="00923D23" w:rsidRDefault="00923D23" w:rsidP="00923D23">
      <w:pPr>
        <w:spacing w:line="480" w:lineRule="auto"/>
        <w:jc w:val="center"/>
        <w:rPr>
          <w:rFonts w:ascii="Times New Roman" w:hAnsi="Times New Roman" w:cs="Times New Roman"/>
          <w:b/>
          <w:sz w:val="24"/>
          <w:szCs w:val="24"/>
          <w:lang w:val="en-GB"/>
        </w:rPr>
      </w:pPr>
    </w:p>
    <w:p w:rsidR="00923D23" w:rsidRPr="003A7CE1" w:rsidRDefault="00923D23" w:rsidP="00923D23">
      <w:pPr>
        <w:spacing w:line="480" w:lineRule="auto"/>
        <w:jc w:val="center"/>
        <w:rPr>
          <w:rFonts w:ascii="Times New Roman" w:hAnsi="Times New Roman" w:cs="Times New Roman"/>
          <w:b/>
          <w:sz w:val="24"/>
          <w:szCs w:val="24"/>
          <w:lang w:val="en-GB"/>
        </w:rPr>
      </w:pPr>
      <w:r w:rsidRPr="003A7CE1">
        <w:rPr>
          <w:rFonts w:ascii="Times New Roman" w:hAnsi="Times New Roman" w:cs="Times New Roman"/>
          <w:b/>
          <w:sz w:val="24"/>
          <w:szCs w:val="24"/>
          <w:lang w:val="en-GB"/>
        </w:rPr>
        <w:lastRenderedPageBreak/>
        <w:t>ABSTRACT</w:t>
      </w:r>
    </w:p>
    <w:p w:rsidR="00923D23" w:rsidRPr="003A7CE1" w:rsidRDefault="00923D23" w:rsidP="00923D23">
      <w:pPr>
        <w:spacing w:line="480" w:lineRule="auto"/>
        <w:jc w:val="both"/>
        <w:rPr>
          <w:rFonts w:ascii="Times New Roman" w:hAnsi="Times New Roman" w:cs="Times New Roman"/>
          <w:smallCaps/>
          <w:vanish/>
          <w:sz w:val="24"/>
          <w:szCs w:val="24"/>
          <w:lang w:val="en-GB"/>
        </w:rPr>
      </w:pPr>
    </w:p>
    <w:p w:rsidR="00923D23" w:rsidRPr="00E301B6" w:rsidRDefault="00923D23" w:rsidP="00923D23">
      <w:pPr>
        <w:spacing w:line="480" w:lineRule="auto"/>
        <w:contextualSpacing/>
        <w:jc w:val="both"/>
        <w:rPr>
          <w:rFonts w:ascii="Times New Roman" w:hAnsi="Times New Roman" w:cs="Times New Roman"/>
          <w:sz w:val="24"/>
          <w:szCs w:val="24"/>
        </w:rPr>
      </w:pPr>
      <w:r w:rsidRPr="00E301B6">
        <w:rPr>
          <w:rFonts w:ascii="Times New Roman" w:hAnsi="Times New Roman" w:cs="Times New Roman"/>
          <w:sz w:val="24"/>
          <w:szCs w:val="24"/>
        </w:rPr>
        <w:t xml:space="preserve">Digital method of soil nutrient assessment offers a transformative approach to optimizing soil fertility management. However, the successful adoption of this technology by farmers is hinged on the capacity of extension agents to effectively transfer relevant knowledge to farmers. This study evaluated knowledge of agricultural extension agents on digital method of soil nutrient assessment in Oyo and </w:t>
      </w:r>
      <w:proofErr w:type="spellStart"/>
      <w:r w:rsidRPr="00E301B6">
        <w:rPr>
          <w:rFonts w:ascii="Times New Roman" w:hAnsi="Times New Roman" w:cs="Times New Roman"/>
          <w:sz w:val="24"/>
          <w:szCs w:val="24"/>
        </w:rPr>
        <w:t>Ogun</w:t>
      </w:r>
      <w:proofErr w:type="spellEnd"/>
      <w:r w:rsidRPr="00E301B6">
        <w:rPr>
          <w:rFonts w:ascii="Times New Roman" w:hAnsi="Times New Roman" w:cs="Times New Roman"/>
          <w:sz w:val="24"/>
          <w:szCs w:val="24"/>
        </w:rPr>
        <w:t xml:space="preserve"> St</w:t>
      </w:r>
      <w:r>
        <w:rPr>
          <w:rFonts w:ascii="Times New Roman" w:hAnsi="Times New Roman" w:cs="Times New Roman"/>
          <w:sz w:val="24"/>
          <w:szCs w:val="24"/>
        </w:rPr>
        <w:t>ates, Nigeria. Stratified</w:t>
      </w:r>
      <w:r w:rsidRPr="00E301B6">
        <w:rPr>
          <w:rFonts w:ascii="Times New Roman" w:hAnsi="Times New Roman" w:cs="Times New Roman"/>
          <w:sz w:val="24"/>
          <w:szCs w:val="24"/>
        </w:rPr>
        <w:t xml:space="preserve"> sampling technique was used to select 130 </w:t>
      </w:r>
      <w:r>
        <w:rPr>
          <w:rFonts w:ascii="Times New Roman" w:hAnsi="Times New Roman" w:cs="Times New Roman"/>
          <w:sz w:val="24"/>
          <w:szCs w:val="24"/>
        </w:rPr>
        <w:t>respondents for the study. A structured questionnaire and Focus Group D</w:t>
      </w:r>
      <w:r w:rsidRPr="00E301B6">
        <w:rPr>
          <w:rFonts w:ascii="Times New Roman" w:hAnsi="Times New Roman" w:cs="Times New Roman"/>
          <w:sz w:val="24"/>
          <w:szCs w:val="24"/>
        </w:rPr>
        <w:t xml:space="preserve">iscussion (FGD) were used to elicit primary data on socioeconomic characteristics of the </w:t>
      </w:r>
      <w:r>
        <w:rPr>
          <w:rFonts w:ascii="Times New Roman" w:hAnsi="Times New Roman" w:cs="Times New Roman"/>
          <w:sz w:val="24"/>
          <w:szCs w:val="24"/>
        </w:rPr>
        <w:t>respondents</w:t>
      </w:r>
      <w:r w:rsidRPr="00E301B6">
        <w:rPr>
          <w:rFonts w:ascii="Times New Roman" w:hAnsi="Times New Roman" w:cs="Times New Roman"/>
          <w:sz w:val="24"/>
          <w:szCs w:val="24"/>
        </w:rPr>
        <w:t>, awareness of digital method of soil evaluation, pre-test and post-test knowledge of the technology, perception on digital method of soil nutrient assessment, willingness to transfer knowledge acquired on the technology and perceived challenges to the transfer of knowledge ac</w:t>
      </w:r>
      <w:r>
        <w:rPr>
          <w:rFonts w:ascii="Times New Roman" w:hAnsi="Times New Roman" w:cs="Times New Roman"/>
          <w:sz w:val="24"/>
          <w:szCs w:val="24"/>
        </w:rPr>
        <w:t>quired on the technology to end-</w:t>
      </w:r>
      <w:r w:rsidRPr="00E301B6">
        <w:rPr>
          <w:rFonts w:ascii="Times New Roman" w:hAnsi="Times New Roman" w:cs="Times New Roman"/>
          <w:sz w:val="24"/>
          <w:szCs w:val="24"/>
        </w:rPr>
        <w:t xml:space="preserve">users. An experiment </w:t>
      </w:r>
      <w:r>
        <w:rPr>
          <w:rFonts w:ascii="Times New Roman" w:hAnsi="Times New Roman" w:cs="Times New Roman"/>
          <w:sz w:val="24"/>
          <w:szCs w:val="24"/>
        </w:rPr>
        <w:t xml:space="preserve">(soil test) </w:t>
      </w:r>
      <w:r w:rsidRPr="00E301B6">
        <w:rPr>
          <w:rFonts w:ascii="Times New Roman" w:hAnsi="Times New Roman" w:cs="Times New Roman"/>
          <w:sz w:val="24"/>
          <w:szCs w:val="24"/>
        </w:rPr>
        <w:t>was also conducted to compare results of soil analyses using laboratory and digital method (soil app).Data were analyzed using frequency counts, percentages, means, standard deviations, Pearson's Product Moment Correlation (PPMC) and student-</w:t>
      </w:r>
      <w:proofErr w:type="spellStart"/>
      <w:r w:rsidRPr="00E301B6">
        <w:rPr>
          <w:rFonts w:ascii="Times New Roman" w:hAnsi="Times New Roman" w:cs="Times New Roman"/>
          <w:sz w:val="24"/>
          <w:szCs w:val="24"/>
        </w:rPr>
        <w:t>ttest</w:t>
      </w:r>
      <w:proofErr w:type="spellEnd"/>
      <w:r w:rsidRPr="00E301B6">
        <w:rPr>
          <w:rFonts w:ascii="Times New Roman" w:hAnsi="Times New Roman" w:cs="Times New Roman"/>
          <w:sz w:val="24"/>
          <w:szCs w:val="24"/>
        </w:rPr>
        <w:t xml:space="preserve">. Results reveal that 66.9% of the </w:t>
      </w:r>
      <w:r>
        <w:rPr>
          <w:rFonts w:ascii="Times New Roman" w:hAnsi="Times New Roman" w:cs="Times New Roman"/>
          <w:sz w:val="24"/>
          <w:szCs w:val="24"/>
        </w:rPr>
        <w:t>respondents</w:t>
      </w:r>
      <w:r w:rsidRPr="00E301B6">
        <w:rPr>
          <w:rFonts w:ascii="Times New Roman" w:hAnsi="Times New Roman" w:cs="Times New Roman"/>
          <w:sz w:val="24"/>
          <w:szCs w:val="24"/>
        </w:rPr>
        <w:t xml:space="preserve"> were male</w:t>
      </w:r>
      <w:r>
        <w:rPr>
          <w:rFonts w:ascii="Times New Roman" w:hAnsi="Times New Roman" w:cs="Times New Roman"/>
          <w:sz w:val="24"/>
          <w:szCs w:val="24"/>
        </w:rPr>
        <w:t xml:space="preserve"> and 73.1% </w:t>
      </w:r>
      <w:proofErr w:type="spellStart"/>
      <w:r>
        <w:rPr>
          <w:rFonts w:ascii="Times New Roman" w:hAnsi="Times New Roman" w:cs="Times New Roman"/>
          <w:sz w:val="24"/>
          <w:szCs w:val="24"/>
        </w:rPr>
        <w:t>had</w:t>
      </w:r>
      <w:r w:rsidRPr="00E301B6">
        <w:rPr>
          <w:rFonts w:ascii="Times New Roman" w:hAnsi="Times New Roman" w:cs="Times New Roman"/>
          <w:sz w:val="24"/>
          <w:szCs w:val="24"/>
        </w:rPr>
        <w:t>BSc</w:t>
      </w:r>
      <w:proofErr w:type="spellEnd"/>
      <w:r w:rsidRPr="00E301B6">
        <w:rPr>
          <w:rFonts w:ascii="Times New Roman" w:hAnsi="Times New Roman" w:cs="Times New Roman"/>
          <w:sz w:val="24"/>
          <w:szCs w:val="24"/>
        </w:rPr>
        <w:t xml:space="preserve">/HND as the highest educational </w:t>
      </w:r>
      <w:proofErr w:type="spellStart"/>
      <w:r w:rsidRPr="00E301B6">
        <w:rPr>
          <w:rFonts w:ascii="Times New Roman" w:hAnsi="Times New Roman" w:cs="Times New Roman"/>
          <w:sz w:val="24"/>
          <w:szCs w:val="24"/>
        </w:rPr>
        <w:t>qualificationwith</w:t>
      </w:r>
      <w:proofErr w:type="spellEnd"/>
      <w:r w:rsidRPr="00E301B6">
        <w:rPr>
          <w:rFonts w:ascii="Times New Roman" w:hAnsi="Times New Roman" w:cs="Times New Roman"/>
          <w:sz w:val="24"/>
          <w:szCs w:val="24"/>
        </w:rPr>
        <w:t xml:space="preserve"> average age</w:t>
      </w:r>
      <w:r>
        <w:rPr>
          <w:rFonts w:ascii="Times New Roman" w:hAnsi="Times New Roman" w:cs="Times New Roman"/>
          <w:sz w:val="24"/>
          <w:szCs w:val="24"/>
        </w:rPr>
        <w:t>, work experience and annual income</w:t>
      </w:r>
      <w:r w:rsidRPr="00E301B6">
        <w:rPr>
          <w:rFonts w:ascii="Times New Roman" w:hAnsi="Times New Roman" w:cs="Times New Roman"/>
          <w:sz w:val="24"/>
          <w:szCs w:val="24"/>
        </w:rPr>
        <w:t xml:space="preserve"> of 45.9 years</w:t>
      </w:r>
      <w:r>
        <w:rPr>
          <w:rFonts w:ascii="Times New Roman" w:hAnsi="Times New Roman" w:cs="Times New Roman"/>
          <w:sz w:val="24"/>
          <w:szCs w:val="24"/>
        </w:rPr>
        <w:t xml:space="preserve">, 14 years and </w:t>
      </w:r>
      <w:r w:rsidRPr="00E301B6">
        <w:rPr>
          <w:rFonts w:ascii="Times New Roman" w:hAnsi="Times New Roman" w:cs="Times New Roman"/>
          <w:sz w:val="24"/>
          <w:szCs w:val="24"/>
        </w:rPr>
        <w:t>₦</w:t>
      </w:r>
      <w:r>
        <w:rPr>
          <w:rFonts w:ascii="Times New Roman" w:hAnsi="Times New Roman" w:cs="Times New Roman"/>
          <w:sz w:val="24"/>
          <w:szCs w:val="24"/>
        </w:rPr>
        <w:t>1,525,074.86k respectively</w:t>
      </w:r>
      <w:r w:rsidRPr="00E301B6">
        <w:rPr>
          <w:rFonts w:ascii="Times New Roman" w:hAnsi="Times New Roman" w:cs="Times New Roman"/>
          <w:sz w:val="24"/>
          <w:szCs w:val="24"/>
        </w:rPr>
        <w:t xml:space="preserve">. Findings further reveal that 41.5% of the </w:t>
      </w:r>
      <w:r>
        <w:rPr>
          <w:rFonts w:ascii="Times New Roman" w:hAnsi="Times New Roman" w:cs="Times New Roman"/>
          <w:sz w:val="24"/>
          <w:szCs w:val="24"/>
        </w:rPr>
        <w:t>respondents</w:t>
      </w:r>
      <w:r w:rsidRPr="00E301B6">
        <w:rPr>
          <w:rFonts w:ascii="Times New Roman" w:hAnsi="Times New Roman" w:cs="Times New Roman"/>
          <w:sz w:val="24"/>
          <w:szCs w:val="24"/>
        </w:rPr>
        <w:t xml:space="preserve"> were aware of digital method of soil nutrient evaluation, 3.8% had undergone previous training on </w:t>
      </w:r>
      <w:r>
        <w:rPr>
          <w:rFonts w:ascii="Times New Roman" w:hAnsi="Times New Roman" w:cs="Times New Roman"/>
          <w:sz w:val="24"/>
          <w:szCs w:val="24"/>
        </w:rPr>
        <w:t>the technology while none</w:t>
      </w:r>
      <w:r w:rsidRPr="00E301B6">
        <w:rPr>
          <w:rFonts w:ascii="Times New Roman" w:hAnsi="Times New Roman" w:cs="Times New Roman"/>
          <w:sz w:val="24"/>
          <w:szCs w:val="24"/>
        </w:rPr>
        <w:t xml:space="preserve"> had used the technology. Results of the pre-training assessment show that 33.7% of the </w:t>
      </w:r>
      <w:r>
        <w:rPr>
          <w:rFonts w:ascii="Times New Roman" w:hAnsi="Times New Roman" w:cs="Times New Roman"/>
          <w:sz w:val="24"/>
          <w:szCs w:val="24"/>
        </w:rPr>
        <w:t>respondents</w:t>
      </w:r>
      <w:r w:rsidRPr="00E301B6">
        <w:rPr>
          <w:rFonts w:ascii="Times New Roman" w:hAnsi="Times New Roman" w:cs="Times New Roman"/>
          <w:sz w:val="24"/>
          <w:szCs w:val="24"/>
        </w:rPr>
        <w:t xml:space="preserve"> had high knowledge of the technology </w:t>
      </w:r>
      <w:r>
        <w:rPr>
          <w:rFonts w:ascii="Times New Roman" w:hAnsi="Times New Roman" w:cs="Times New Roman"/>
          <w:sz w:val="24"/>
          <w:szCs w:val="24"/>
        </w:rPr>
        <w:t xml:space="preserve">compared to 99.2% with high knowledge for </w:t>
      </w:r>
      <w:r w:rsidRPr="00E301B6">
        <w:rPr>
          <w:rFonts w:ascii="Times New Roman" w:hAnsi="Times New Roman" w:cs="Times New Roman"/>
          <w:sz w:val="24"/>
          <w:szCs w:val="24"/>
        </w:rPr>
        <w:t xml:space="preserve">post-test training </w:t>
      </w:r>
      <w:r>
        <w:rPr>
          <w:rFonts w:ascii="Times New Roman" w:hAnsi="Times New Roman" w:cs="Times New Roman"/>
          <w:sz w:val="24"/>
          <w:szCs w:val="24"/>
        </w:rPr>
        <w:t>assessment</w:t>
      </w:r>
      <w:r w:rsidRPr="00E301B6">
        <w:rPr>
          <w:rFonts w:ascii="Times New Roman" w:hAnsi="Times New Roman" w:cs="Times New Roman"/>
          <w:sz w:val="24"/>
          <w:szCs w:val="24"/>
        </w:rPr>
        <w:t xml:space="preserve"> of the techno</w:t>
      </w:r>
      <w:r>
        <w:rPr>
          <w:rFonts w:ascii="Times New Roman" w:hAnsi="Times New Roman" w:cs="Times New Roman"/>
          <w:sz w:val="24"/>
          <w:szCs w:val="24"/>
        </w:rPr>
        <w:t xml:space="preserve">logy. Overall, </w:t>
      </w:r>
      <w:r w:rsidRPr="00E301B6">
        <w:rPr>
          <w:rFonts w:ascii="Times New Roman" w:hAnsi="Times New Roman" w:cs="Times New Roman"/>
          <w:sz w:val="24"/>
          <w:szCs w:val="24"/>
        </w:rPr>
        <w:t xml:space="preserve">76.9% of the </w:t>
      </w:r>
      <w:r>
        <w:rPr>
          <w:rFonts w:ascii="Times New Roman" w:hAnsi="Times New Roman" w:cs="Times New Roman"/>
          <w:sz w:val="24"/>
          <w:szCs w:val="24"/>
        </w:rPr>
        <w:t>respondents</w:t>
      </w:r>
      <w:r w:rsidRPr="00E301B6">
        <w:rPr>
          <w:rFonts w:ascii="Times New Roman" w:hAnsi="Times New Roman" w:cs="Times New Roman"/>
          <w:sz w:val="24"/>
          <w:szCs w:val="24"/>
        </w:rPr>
        <w:t xml:space="preserve"> had positi</w:t>
      </w:r>
      <w:r>
        <w:rPr>
          <w:rFonts w:ascii="Times New Roman" w:hAnsi="Times New Roman" w:cs="Times New Roman"/>
          <w:sz w:val="24"/>
          <w:szCs w:val="24"/>
        </w:rPr>
        <w:t xml:space="preserve">ve perception on the ease of using </w:t>
      </w:r>
      <w:r w:rsidRPr="00E301B6">
        <w:rPr>
          <w:rFonts w:ascii="Times New Roman" w:hAnsi="Times New Roman" w:cs="Times New Roman"/>
          <w:sz w:val="24"/>
          <w:szCs w:val="24"/>
        </w:rPr>
        <w:t xml:space="preserve">the technology while 84.6% had a positive perception towards the usefulness of the technology for </w:t>
      </w:r>
      <w:r w:rsidRPr="00E301B6">
        <w:rPr>
          <w:rFonts w:ascii="Times New Roman" w:hAnsi="Times New Roman" w:cs="Times New Roman"/>
          <w:sz w:val="24"/>
          <w:szCs w:val="24"/>
        </w:rPr>
        <w:lastRenderedPageBreak/>
        <w:t>their fiel</w:t>
      </w:r>
      <w:r>
        <w:rPr>
          <w:rFonts w:ascii="Times New Roman" w:hAnsi="Times New Roman" w:cs="Times New Roman"/>
          <w:sz w:val="24"/>
          <w:szCs w:val="24"/>
        </w:rPr>
        <w:t>d work. Most (</w:t>
      </w:r>
      <w:r w:rsidRPr="00E301B6">
        <w:rPr>
          <w:rFonts w:ascii="Times New Roman" w:hAnsi="Times New Roman" w:cs="Times New Roman"/>
          <w:sz w:val="24"/>
          <w:szCs w:val="24"/>
        </w:rPr>
        <w:t>76.2%</w:t>
      </w:r>
      <w:r>
        <w:rPr>
          <w:rFonts w:ascii="Times New Roman" w:hAnsi="Times New Roman" w:cs="Times New Roman"/>
          <w:sz w:val="24"/>
          <w:szCs w:val="24"/>
        </w:rPr>
        <w:t>)</w:t>
      </w:r>
      <w:r w:rsidRPr="00E301B6">
        <w:rPr>
          <w:rFonts w:ascii="Times New Roman" w:hAnsi="Times New Roman" w:cs="Times New Roman"/>
          <w:sz w:val="24"/>
          <w:szCs w:val="24"/>
        </w:rPr>
        <w:t xml:space="preserve"> of the </w:t>
      </w:r>
      <w:proofErr w:type="spellStart"/>
      <w:r>
        <w:rPr>
          <w:rFonts w:ascii="Times New Roman" w:hAnsi="Times New Roman" w:cs="Times New Roman"/>
          <w:sz w:val="24"/>
          <w:szCs w:val="24"/>
        </w:rPr>
        <w:t>respondents</w:t>
      </w:r>
      <w:r w:rsidRPr="00E301B6">
        <w:rPr>
          <w:rFonts w:ascii="Times New Roman" w:hAnsi="Times New Roman" w:cs="Times New Roman"/>
          <w:sz w:val="24"/>
          <w:szCs w:val="24"/>
        </w:rPr>
        <w:t>were</w:t>
      </w:r>
      <w:proofErr w:type="spellEnd"/>
      <w:r w:rsidRPr="00E301B6">
        <w:rPr>
          <w:rFonts w:ascii="Times New Roman" w:hAnsi="Times New Roman" w:cs="Times New Roman"/>
          <w:sz w:val="24"/>
          <w:szCs w:val="24"/>
        </w:rPr>
        <w:t xml:space="preserve"> willing to transfer the knowledge they had acquired during the training to end users. FGD reveals that financial implications associated with the use of digital method of soil nutrient assessment is envisaged</w:t>
      </w:r>
      <w:r>
        <w:rPr>
          <w:rFonts w:ascii="Times New Roman" w:hAnsi="Times New Roman" w:cs="Times New Roman"/>
          <w:sz w:val="24"/>
          <w:szCs w:val="24"/>
        </w:rPr>
        <w:t xml:space="preserve"> as</w:t>
      </w:r>
      <w:r w:rsidRPr="00E301B6">
        <w:rPr>
          <w:rFonts w:ascii="Times New Roman" w:hAnsi="Times New Roman" w:cs="Times New Roman"/>
          <w:sz w:val="24"/>
          <w:szCs w:val="24"/>
        </w:rPr>
        <w:t xml:space="preserve"> the major challenge towards dissemination of the technology. Student-</w:t>
      </w:r>
      <w:proofErr w:type="spellStart"/>
      <w:r w:rsidRPr="00E301B6">
        <w:rPr>
          <w:rFonts w:ascii="Times New Roman" w:hAnsi="Times New Roman" w:cs="Times New Roman"/>
          <w:sz w:val="24"/>
          <w:szCs w:val="24"/>
        </w:rPr>
        <w:t>ttest</w:t>
      </w:r>
      <w:proofErr w:type="spellEnd"/>
      <w:r w:rsidRPr="00E301B6">
        <w:rPr>
          <w:rFonts w:ascii="Times New Roman" w:hAnsi="Times New Roman" w:cs="Times New Roman"/>
          <w:sz w:val="24"/>
          <w:szCs w:val="24"/>
        </w:rPr>
        <w:t xml:space="preserve"> reveals a significant (p&lt;0.05) difference between pre-test and post-test knowledge of the </w:t>
      </w:r>
      <w:proofErr w:type="gramStart"/>
      <w:r w:rsidRPr="00E301B6">
        <w:rPr>
          <w:rFonts w:ascii="Times New Roman" w:hAnsi="Times New Roman" w:cs="Times New Roman"/>
          <w:sz w:val="24"/>
          <w:szCs w:val="24"/>
        </w:rPr>
        <w:t>technology(</w:t>
      </w:r>
      <w:proofErr w:type="gramEnd"/>
      <w:r w:rsidRPr="00E301B6">
        <w:rPr>
          <w:rFonts w:ascii="Times New Roman" w:hAnsi="Times New Roman" w:cs="Times New Roman"/>
          <w:sz w:val="24"/>
          <w:szCs w:val="24"/>
        </w:rPr>
        <w:t>t=36.198). Standardized soil rating scale show similarities</w:t>
      </w:r>
      <w:r>
        <w:rPr>
          <w:rFonts w:ascii="Times New Roman" w:hAnsi="Times New Roman" w:cs="Times New Roman"/>
          <w:sz w:val="24"/>
          <w:szCs w:val="24"/>
        </w:rPr>
        <w:t xml:space="preserve"> (K=0.3-0.5 </w:t>
      </w:r>
      <w:proofErr w:type="spellStart"/>
      <w:r>
        <w:rPr>
          <w:rFonts w:ascii="Times New Roman" w:hAnsi="Times New Roman" w:cs="Times New Roman"/>
          <w:sz w:val="24"/>
          <w:szCs w:val="24"/>
        </w:rPr>
        <w:t>cmol</w:t>
      </w:r>
      <w:proofErr w:type="spellEnd"/>
      <w:r>
        <w:rPr>
          <w:rFonts w:ascii="Times New Roman" w:hAnsi="Times New Roman" w:cs="Times New Roman"/>
          <w:sz w:val="24"/>
          <w:szCs w:val="24"/>
        </w:rPr>
        <w:t>/kg, N=0.3-0.3, OC= 0.5-1.5%, pH= 6.8-7.2 and P=24.1-26.0mg/kg)</w:t>
      </w:r>
      <w:r w:rsidRPr="00E301B6">
        <w:rPr>
          <w:rFonts w:ascii="Times New Roman" w:hAnsi="Times New Roman" w:cs="Times New Roman"/>
          <w:sz w:val="24"/>
          <w:szCs w:val="24"/>
        </w:rPr>
        <w:t xml:space="preserve"> in the results of digital and laboratory methods of soil nutrient assessment</w:t>
      </w:r>
      <w:r>
        <w:rPr>
          <w:rFonts w:ascii="Times New Roman" w:hAnsi="Times New Roman" w:cs="Times New Roman"/>
          <w:sz w:val="24"/>
          <w:szCs w:val="24"/>
        </w:rPr>
        <w:t xml:space="preserve"> (Phosphorus ranges bet</w:t>
      </w:r>
      <w:r w:rsidRPr="00E301B6">
        <w:rPr>
          <w:rFonts w:ascii="Times New Roman" w:hAnsi="Times New Roman" w:cs="Times New Roman"/>
          <w:sz w:val="24"/>
          <w:szCs w:val="24"/>
        </w:rPr>
        <w:t>.</w:t>
      </w:r>
      <w:r>
        <w:rPr>
          <w:rFonts w:ascii="Times New Roman" w:hAnsi="Times New Roman" w:cs="Times New Roman"/>
          <w:sz w:val="24"/>
          <w:szCs w:val="24"/>
        </w:rPr>
        <w:t xml:space="preserve"> Further, </w:t>
      </w:r>
      <w:r w:rsidRPr="00E301B6">
        <w:rPr>
          <w:rFonts w:ascii="Times New Roman" w:hAnsi="Times New Roman" w:cs="Times New Roman"/>
          <w:sz w:val="24"/>
          <w:szCs w:val="24"/>
        </w:rPr>
        <w:t>PPMC shows that perception of extension agents had significant (p&lt;0.05) rel</w:t>
      </w:r>
      <w:r>
        <w:rPr>
          <w:rFonts w:ascii="Times New Roman" w:hAnsi="Times New Roman" w:cs="Times New Roman"/>
          <w:sz w:val="24"/>
          <w:szCs w:val="24"/>
        </w:rPr>
        <w:t xml:space="preserve">ationship on their </w:t>
      </w:r>
      <w:r w:rsidRPr="00E301B6">
        <w:rPr>
          <w:rFonts w:ascii="Times New Roman" w:hAnsi="Times New Roman" w:cs="Times New Roman"/>
          <w:sz w:val="24"/>
          <w:szCs w:val="24"/>
        </w:rPr>
        <w:t>post-test knowledge</w:t>
      </w:r>
      <w:r>
        <w:rPr>
          <w:rFonts w:ascii="Times New Roman" w:hAnsi="Times New Roman" w:cs="Times New Roman"/>
          <w:sz w:val="24"/>
          <w:szCs w:val="24"/>
        </w:rPr>
        <w:t xml:space="preserve"> of the technology</w:t>
      </w:r>
      <w:r w:rsidRPr="00E301B6">
        <w:rPr>
          <w:rFonts w:ascii="Times New Roman" w:hAnsi="Times New Roman" w:cs="Times New Roman"/>
          <w:sz w:val="24"/>
          <w:szCs w:val="24"/>
        </w:rPr>
        <w:t xml:space="preserve"> (r=0.168). The study concluded that the training on digital method of soil nutrient assessment improved extension age</w:t>
      </w:r>
      <w:r>
        <w:rPr>
          <w:rFonts w:ascii="Times New Roman" w:hAnsi="Times New Roman" w:cs="Times New Roman"/>
          <w:sz w:val="24"/>
          <w:szCs w:val="24"/>
        </w:rPr>
        <w:t>nts’ knowledge on the technology</w:t>
      </w:r>
      <w:r w:rsidRPr="00E301B6">
        <w:rPr>
          <w:rFonts w:ascii="Times New Roman" w:hAnsi="Times New Roman" w:cs="Times New Roman"/>
          <w:sz w:val="24"/>
          <w:szCs w:val="24"/>
        </w:rPr>
        <w:t xml:space="preserve">. Therefore, the study recommended that </w:t>
      </w:r>
      <w:r>
        <w:rPr>
          <w:rFonts w:ascii="Times New Roman" w:hAnsi="Times New Roman" w:cs="Times New Roman"/>
          <w:sz w:val="24"/>
          <w:szCs w:val="24"/>
        </w:rPr>
        <w:t>extension agents should disseminate the knowledge acquired to farmers for improved soil management while they regularly undergo trainings to improve their knowledge of digital agriculture.</w:t>
      </w:r>
    </w:p>
    <w:p w:rsidR="00A66FEB" w:rsidRDefault="00A66FEB"/>
    <w:sectPr w:rsidR="00A66FEB" w:rsidSect="00A66FEB">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7"/>
  <w:proofState w:spelling="clean" w:grammar="clean"/>
  <w:defaultTabStop w:val="720"/>
  <w:characterSpacingControl w:val="doNotCompress"/>
  <w:compat/>
  <w:rsids>
    <w:rsidRoot w:val="00923D23"/>
    <w:rsid w:val="00923D23"/>
    <w:rsid w:val="00A66FEB"/>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23D23"/>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570</Words>
  <Characters>3254</Characters>
  <Application>Microsoft Office Word</Application>
  <DocSecurity>0</DocSecurity>
  <Lines>27</Lines>
  <Paragraphs>7</Paragraphs>
  <ScaleCrop>false</ScaleCrop>
  <Company/>
  <LinksUpToDate>false</LinksUpToDate>
  <CharactersWithSpaces>3817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2025-12-03T09:30:00Z</dcterms:created>
  <dcterms:modified xsi:type="dcterms:W3CDTF">2025-12-03T09:31:00Z</dcterms:modified>
</cp:coreProperties>
</file>