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E77C1" w:rsidRPr="002C1C9B" w:rsidRDefault="004E77C1" w:rsidP="004E77C1">
      <w:pPr>
        <w:pStyle w:val="Default"/>
        <w:spacing w:before="240" w:after="240" w:line="360" w:lineRule="auto"/>
        <w:jc w:val="center"/>
        <w:rPr>
          <w:b/>
          <w:sz w:val="28"/>
          <w:szCs w:val="28"/>
        </w:rPr>
      </w:pPr>
      <w:bookmarkStart w:id="0" w:name="_Hlk134021677"/>
      <w:r w:rsidRPr="00E5116F">
        <w:rPr>
          <w:b/>
          <w:sz w:val="28"/>
          <w:szCs w:val="28"/>
        </w:rPr>
        <w:t>EVALUATION OF CRUMB-RUBBER I</w:t>
      </w:r>
      <w:r>
        <w:rPr>
          <w:b/>
          <w:sz w:val="28"/>
          <w:szCs w:val="28"/>
        </w:rPr>
        <w:t xml:space="preserve">N THE STABILISATION OF </w:t>
      </w:r>
      <w:r w:rsidRPr="00E5116F">
        <w:rPr>
          <w:b/>
          <w:sz w:val="28"/>
          <w:szCs w:val="28"/>
        </w:rPr>
        <w:t>SOFT SOIL</w:t>
      </w:r>
    </w:p>
    <w:p w:rsidR="004E77C1" w:rsidRPr="002C1C9B" w:rsidRDefault="004E77C1" w:rsidP="004E77C1">
      <w:pPr>
        <w:pStyle w:val="Default"/>
        <w:spacing w:before="240" w:after="240" w:line="360" w:lineRule="auto"/>
        <w:jc w:val="center"/>
        <w:rPr>
          <w:b/>
          <w:sz w:val="28"/>
          <w:szCs w:val="28"/>
        </w:rPr>
      </w:pPr>
      <w:r w:rsidRPr="002C1C9B">
        <w:rPr>
          <w:b/>
          <w:sz w:val="28"/>
          <w:szCs w:val="28"/>
        </w:rPr>
        <w:t>BY</w:t>
      </w:r>
    </w:p>
    <w:p w:rsidR="004E77C1" w:rsidRPr="002C1C9B" w:rsidRDefault="004E77C1" w:rsidP="004E77C1">
      <w:pPr>
        <w:pStyle w:val="Default"/>
        <w:spacing w:before="240" w:after="240" w:line="360" w:lineRule="auto"/>
        <w:jc w:val="center"/>
        <w:rPr>
          <w:b/>
          <w:sz w:val="28"/>
          <w:szCs w:val="28"/>
        </w:rPr>
      </w:pPr>
    </w:p>
    <w:bookmarkEnd w:id="0"/>
    <w:p w:rsidR="004E77C1" w:rsidRPr="002C1C9B" w:rsidRDefault="004E77C1" w:rsidP="004E77C1">
      <w:pPr>
        <w:pStyle w:val="Default"/>
        <w:spacing w:line="360" w:lineRule="auto"/>
        <w:jc w:val="center"/>
        <w:rPr>
          <w:b/>
          <w:sz w:val="28"/>
          <w:szCs w:val="28"/>
        </w:rPr>
      </w:pPr>
      <w:r w:rsidRPr="002C1C9B">
        <w:rPr>
          <w:b/>
          <w:sz w:val="28"/>
          <w:szCs w:val="28"/>
        </w:rPr>
        <w:t>ADEKANMBI ADEWALE YUSUF (PG 19/0007)</w:t>
      </w:r>
    </w:p>
    <w:p w:rsidR="004E77C1" w:rsidRPr="002C1C9B" w:rsidRDefault="004E77C1" w:rsidP="004E77C1">
      <w:pPr>
        <w:pStyle w:val="Default"/>
        <w:spacing w:line="360" w:lineRule="auto"/>
        <w:jc w:val="center"/>
        <w:rPr>
          <w:b/>
          <w:sz w:val="28"/>
          <w:szCs w:val="28"/>
        </w:rPr>
      </w:pPr>
      <w:r w:rsidRPr="002C1C9B">
        <w:rPr>
          <w:b/>
          <w:sz w:val="28"/>
          <w:szCs w:val="28"/>
        </w:rPr>
        <w:t>B. Sc (Civil and Environmental Engineering) (</w:t>
      </w:r>
      <w:proofErr w:type="spellStart"/>
      <w:r w:rsidRPr="002C1C9B">
        <w:rPr>
          <w:b/>
          <w:sz w:val="28"/>
          <w:szCs w:val="28"/>
        </w:rPr>
        <w:t>Unilag</w:t>
      </w:r>
      <w:proofErr w:type="spellEnd"/>
      <w:r w:rsidRPr="002C1C9B">
        <w:rPr>
          <w:b/>
          <w:sz w:val="28"/>
          <w:szCs w:val="28"/>
        </w:rPr>
        <w:t>)</w:t>
      </w:r>
    </w:p>
    <w:p w:rsidR="004E77C1" w:rsidRPr="002C1C9B" w:rsidRDefault="004E77C1" w:rsidP="004E77C1">
      <w:pPr>
        <w:pStyle w:val="Default"/>
        <w:spacing w:line="360" w:lineRule="auto"/>
        <w:jc w:val="center"/>
        <w:rPr>
          <w:b/>
          <w:sz w:val="28"/>
          <w:szCs w:val="28"/>
        </w:rPr>
      </w:pPr>
    </w:p>
    <w:p w:rsidR="004E77C1" w:rsidRPr="002C1C9B" w:rsidRDefault="004E77C1" w:rsidP="004E77C1">
      <w:pPr>
        <w:pStyle w:val="Default"/>
        <w:spacing w:before="240" w:after="240" w:line="360" w:lineRule="auto"/>
        <w:jc w:val="center"/>
        <w:rPr>
          <w:b/>
          <w:sz w:val="28"/>
          <w:szCs w:val="28"/>
        </w:rPr>
      </w:pPr>
      <w:r w:rsidRPr="002C1C9B">
        <w:rPr>
          <w:b/>
          <w:sz w:val="28"/>
          <w:szCs w:val="28"/>
        </w:rPr>
        <w:t xml:space="preserve">A Dissertation submitted in partial </w:t>
      </w:r>
      <w:proofErr w:type="spellStart"/>
      <w:r w:rsidRPr="002C1C9B">
        <w:rPr>
          <w:b/>
          <w:sz w:val="28"/>
          <w:szCs w:val="28"/>
        </w:rPr>
        <w:t>fulfilment</w:t>
      </w:r>
      <w:proofErr w:type="spellEnd"/>
      <w:r w:rsidRPr="002C1C9B">
        <w:rPr>
          <w:b/>
          <w:sz w:val="28"/>
          <w:szCs w:val="28"/>
        </w:rPr>
        <w:t xml:space="preserve"> of the requirements for the award of the degree of Masters of Engineering (</w:t>
      </w:r>
      <w:proofErr w:type="spellStart"/>
      <w:r w:rsidRPr="002C1C9B">
        <w:rPr>
          <w:b/>
          <w:sz w:val="28"/>
          <w:szCs w:val="28"/>
        </w:rPr>
        <w:t>M.Eng</w:t>
      </w:r>
      <w:proofErr w:type="spellEnd"/>
      <w:r w:rsidRPr="002C1C9B">
        <w:rPr>
          <w:b/>
          <w:sz w:val="28"/>
          <w:szCs w:val="28"/>
        </w:rPr>
        <w:t xml:space="preserve">) in </w:t>
      </w:r>
      <w:proofErr w:type="spellStart"/>
      <w:r w:rsidRPr="002C1C9B">
        <w:rPr>
          <w:b/>
          <w:sz w:val="28"/>
          <w:szCs w:val="28"/>
        </w:rPr>
        <w:t>Geotechnics</w:t>
      </w:r>
      <w:proofErr w:type="spellEnd"/>
      <w:r w:rsidRPr="002C1C9B">
        <w:rPr>
          <w:b/>
          <w:sz w:val="28"/>
          <w:szCs w:val="28"/>
        </w:rPr>
        <w:t xml:space="preserve"> and Foundation Engineering</w:t>
      </w:r>
    </w:p>
    <w:p w:rsidR="004E77C1" w:rsidRPr="002C1C9B" w:rsidRDefault="004E77C1" w:rsidP="004E77C1">
      <w:pPr>
        <w:pStyle w:val="Default"/>
        <w:spacing w:before="240" w:after="240" w:line="360" w:lineRule="auto"/>
        <w:jc w:val="center"/>
        <w:rPr>
          <w:b/>
          <w:sz w:val="28"/>
          <w:szCs w:val="28"/>
        </w:rPr>
      </w:pPr>
    </w:p>
    <w:p w:rsidR="004E77C1" w:rsidRPr="002C1C9B" w:rsidRDefault="004E77C1" w:rsidP="004E77C1">
      <w:pPr>
        <w:pStyle w:val="Default"/>
        <w:spacing w:line="360" w:lineRule="auto"/>
        <w:jc w:val="center"/>
        <w:rPr>
          <w:b/>
          <w:sz w:val="28"/>
          <w:szCs w:val="28"/>
        </w:rPr>
      </w:pPr>
      <w:r w:rsidRPr="002C1C9B">
        <w:rPr>
          <w:b/>
          <w:sz w:val="28"/>
          <w:szCs w:val="28"/>
        </w:rPr>
        <w:t>DEPARTMENT OF CIVIL ENGINEERING</w:t>
      </w:r>
    </w:p>
    <w:p w:rsidR="004E77C1" w:rsidRPr="002C1C9B" w:rsidRDefault="004E77C1" w:rsidP="004E77C1">
      <w:pPr>
        <w:pStyle w:val="Default"/>
        <w:spacing w:line="360" w:lineRule="auto"/>
        <w:jc w:val="center"/>
        <w:rPr>
          <w:b/>
          <w:sz w:val="28"/>
          <w:szCs w:val="28"/>
        </w:rPr>
      </w:pPr>
      <w:r w:rsidRPr="002C1C9B">
        <w:rPr>
          <w:b/>
          <w:sz w:val="28"/>
          <w:szCs w:val="28"/>
        </w:rPr>
        <w:t>COLLEGE OF ENGINEERING</w:t>
      </w:r>
    </w:p>
    <w:p w:rsidR="004E77C1" w:rsidRPr="002C1C9B" w:rsidRDefault="004E77C1" w:rsidP="004E77C1">
      <w:pPr>
        <w:pStyle w:val="Default"/>
        <w:spacing w:line="360" w:lineRule="auto"/>
        <w:jc w:val="center"/>
        <w:rPr>
          <w:b/>
          <w:sz w:val="28"/>
          <w:szCs w:val="28"/>
        </w:rPr>
      </w:pPr>
      <w:r w:rsidRPr="002C1C9B">
        <w:rPr>
          <w:b/>
          <w:sz w:val="28"/>
          <w:szCs w:val="28"/>
        </w:rPr>
        <w:t>FEDERAL UNIVERSITY OF AGRICULTURE ABEOKUTA (FUNAAB)</w:t>
      </w:r>
    </w:p>
    <w:p w:rsidR="004E77C1" w:rsidRPr="002C1C9B" w:rsidRDefault="004E77C1" w:rsidP="004E77C1">
      <w:pPr>
        <w:spacing w:before="240" w:after="240" w:line="360" w:lineRule="auto"/>
        <w:jc w:val="center"/>
        <w:rPr>
          <w:rFonts w:ascii="Times New Roman" w:hAnsi="Times New Roman" w:cs="Times New Roman"/>
          <w:b/>
          <w:sz w:val="28"/>
          <w:szCs w:val="28"/>
        </w:rPr>
      </w:pPr>
    </w:p>
    <w:p w:rsidR="004E77C1" w:rsidRPr="002C1C9B" w:rsidRDefault="004E77C1" w:rsidP="004E77C1">
      <w:pPr>
        <w:spacing w:before="240" w:after="240" w:line="360" w:lineRule="auto"/>
        <w:jc w:val="center"/>
        <w:rPr>
          <w:rFonts w:ascii="Times New Roman" w:hAnsi="Times New Roman" w:cs="Times New Roman"/>
          <w:b/>
          <w:sz w:val="28"/>
          <w:szCs w:val="28"/>
        </w:rPr>
      </w:pPr>
    </w:p>
    <w:p w:rsidR="004E77C1" w:rsidRPr="002C1C9B" w:rsidRDefault="004E77C1" w:rsidP="004E77C1">
      <w:pPr>
        <w:spacing w:before="240" w:after="240" w:line="360" w:lineRule="auto"/>
        <w:jc w:val="center"/>
        <w:rPr>
          <w:rFonts w:ascii="Times New Roman" w:hAnsi="Times New Roman" w:cs="Times New Roman"/>
          <w:b/>
          <w:sz w:val="28"/>
          <w:szCs w:val="28"/>
        </w:rPr>
      </w:pPr>
      <w:r>
        <w:rPr>
          <w:rFonts w:ascii="Times New Roman" w:hAnsi="Times New Roman" w:cs="Times New Roman"/>
          <w:b/>
          <w:sz w:val="28"/>
          <w:szCs w:val="28"/>
        </w:rPr>
        <w:t>JUNE 2024</w:t>
      </w:r>
    </w:p>
    <w:p w:rsidR="004E77C1" w:rsidRDefault="004E77C1" w:rsidP="004E77C1">
      <w:pPr>
        <w:pStyle w:val="ListParagraph"/>
        <w:spacing w:before="240" w:line="480" w:lineRule="auto"/>
        <w:ind w:left="374"/>
        <w:jc w:val="center"/>
        <w:rPr>
          <w:rFonts w:ascii="Times New Roman" w:hAnsi="Times New Roman" w:cs="Times New Roman"/>
          <w:b/>
          <w:sz w:val="24"/>
          <w:szCs w:val="24"/>
        </w:rPr>
      </w:pPr>
    </w:p>
    <w:p w:rsidR="004E77C1" w:rsidRDefault="004E77C1" w:rsidP="004E77C1">
      <w:pPr>
        <w:pStyle w:val="ListParagraph"/>
        <w:spacing w:before="240" w:line="480" w:lineRule="auto"/>
        <w:ind w:left="374"/>
        <w:jc w:val="center"/>
        <w:rPr>
          <w:rFonts w:ascii="Times New Roman" w:hAnsi="Times New Roman" w:cs="Times New Roman"/>
          <w:b/>
          <w:sz w:val="24"/>
          <w:szCs w:val="24"/>
        </w:rPr>
        <w:sectPr w:rsidR="004E77C1" w:rsidSect="0053326D">
          <w:headerReference w:type="default" r:id="rId4"/>
          <w:footerReference w:type="default" r:id="rId5"/>
          <w:pgSz w:w="12240" w:h="15840"/>
          <w:pgMar w:top="1440" w:right="1440" w:bottom="1440" w:left="2007" w:header="709" w:footer="709" w:gutter="0"/>
          <w:pgNumType w:fmt="lowerRoman" w:start="1"/>
          <w:cols w:space="708"/>
          <w:docGrid w:linePitch="360"/>
        </w:sectPr>
      </w:pPr>
    </w:p>
    <w:p w:rsidR="004E77C1" w:rsidRPr="0053326D" w:rsidRDefault="004E77C1" w:rsidP="004E77C1">
      <w:pPr>
        <w:spacing w:after="258" w:line="480" w:lineRule="auto"/>
        <w:jc w:val="center"/>
        <w:rPr>
          <w:rFonts w:ascii="Times New Roman" w:eastAsia="Times New Roman" w:hAnsi="Times New Roman" w:cs="Times New Roman"/>
          <w:b/>
          <w:color w:val="000000"/>
          <w:sz w:val="24"/>
          <w:szCs w:val="24"/>
        </w:rPr>
      </w:pPr>
      <w:r w:rsidRPr="0053326D">
        <w:rPr>
          <w:rFonts w:ascii="Times New Roman" w:eastAsia="Times New Roman" w:hAnsi="Times New Roman" w:cs="Times New Roman"/>
          <w:b/>
          <w:color w:val="000000"/>
          <w:sz w:val="24"/>
          <w:szCs w:val="24"/>
        </w:rPr>
        <w:lastRenderedPageBreak/>
        <w:t>ABSTRACT</w:t>
      </w:r>
    </w:p>
    <w:p w:rsidR="004E77C1" w:rsidRPr="0029686C" w:rsidRDefault="004E77C1" w:rsidP="004E77C1">
      <w:pPr>
        <w:spacing w:after="258" w:line="480" w:lineRule="auto"/>
        <w:jc w:val="both"/>
        <w:rPr>
          <w:rFonts w:ascii="Times New Roman" w:eastAsia="Times New Roman" w:hAnsi="Times New Roman" w:cs="Times New Roman"/>
          <w:color w:val="000000"/>
          <w:sz w:val="24"/>
          <w:szCs w:val="24"/>
        </w:rPr>
      </w:pPr>
      <w:r w:rsidRPr="0029686C">
        <w:rPr>
          <w:rFonts w:ascii="Times New Roman" w:eastAsia="Times New Roman" w:hAnsi="Times New Roman" w:cs="Times New Roman"/>
          <w:color w:val="000000"/>
          <w:sz w:val="24"/>
          <w:szCs w:val="24"/>
        </w:rPr>
        <w:t xml:space="preserve">The presence of soft soil poses challenges to foundation, thus necessitating the need for ground improvement techniques like weak soil replacement, compaction, and soil stabilization. This study evaluated the effect of crumb-rubber (CR) on selected soft soil. The CR specimen was prepared into sizes of 0.6 mm (CR1), 1.18 mm (CR2), 2.36 mm (CR3) and 4.75 mm (CR4). The soil sample was treated with each of the sizes of CR specimen at percentage replacement of 2.5, 5, 7.5 and 10 %. Each of the Soil-CR mixture was identified as SCRM1, SCRM2, SCRM3, and SCRM4 based on the aforementioned CR sizes respectively, and has four sample mixtures based on aforementioned percentage replacements, with a total number of sixteen samples in all. The geotechnical and chemical properties of the soil, CR, and SCRMs were examined by performing tests such as Natural Moisture Content (NMC), Specific Gravity (Gs), Plasticity Index (PI), Unconfined Compressive Strength (UCS), California Bearing Ratio (CBR), X-ray Fluorescence (XRF), Fourier-Transform Infrared Spectroscopy (FTIR), X-ray </w:t>
      </w:r>
      <w:proofErr w:type="spellStart"/>
      <w:r w:rsidRPr="0029686C">
        <w:rPr>
          <w:rFonts w:ascii="Times New Roman" w:eastAsia="Times New Roman" w:hAnsi="Times New Roman" w:cs="Times New Roman"/>
          <w:color w:val="000000"/>
          <w:sz w:val="24"/>
          <w:szCs w:val="24"/>
        </w:rPr>
        <w:t>Diffractometer</w:t>
      </w:r>
      <w:proofErr w:type="spellEnd"/>
      <w:r w:rsidRPr="0029686C">
        <w:rPr>
          <w:rFonts w:ascii="Times New Roman" w:eastAsia="Times New Roman" w:hAnsi="Times New Roman" w:cs="Times New Roman"/>
          <w:color w:val="000000"/>
          <w:sz w:val="24"/>
          <w:szCs w:val="24"/>
        </w:rPr>
        <w:t xml:space="preserve"> (XRD) and Scan Electron Microscopy (SEM). The results showed that the soil has high water holding capacity of 23.5 %, light weighted (Gs = 1.62), and has low plasticity (PI </w:t>
      </w:r>
      <w:proofErr w:type="gramStart"/>
      <w:r w:rsidRPr="0029686C">
        <w:rPr>
          <w:rFonts w:ascii="Times New Roman" w:eastAsia="Times New Roman" w:hAnsi="Times New Roman" w:cs="Times New Roman"/>
          <w:color w:val="000000"/>
          <w:sz w:val="24"/>
          <w:szCs w:val="24"/>
        </w:rPr>
        <w:t>=  2.72</w:t>
      </w:r>
      <w:proofErr w:type="gramEnd"/>
      <w:r w:rsidRPr="0029686C">
        <w:rPr>
          <w:rFonts w:ascii="Times New Roman" w:eastAsia="Times New Roman" w:hAnsi="Times New Roman" w:cs="Times New Roman"/>
          <w:color w:val="000000"/>
          <w:sz w:val="24"/>
          <w:szCs w:val="24"/>
        </w:rPr>
        <w:t xml:space="preserve">) and thus classified as Low Plastic Organic </w:t>
      </w:r>
      <w:proofErr w:type="spellStart"/>
      <w:r w:rsidRPr="0029686C">
        <w:rPr>
          <w:rFonts w:ascii="Times New Roman" w:eastAsia="Times New Roman" w:hAnsi="Times New Roman" w:cs="Times New Roman"/>
          <w:color w:val="000000"/>
          <w:sz w:val="24"/>
          <w:szCs w:val="24"/>
        </w:rPr>
        <w:t>Silty</w:t>
      </w:r>
      <w:proofErr w:type="spellEnd"/>
      <w:r w:rsidRPr="0029686C">
        <w:rPr>
          <w:rFonts w:ascii="Times New Roman" w:eastAsia="Times New Roman" w:hAnsi="Times New Roman" w:cs="Times New Roman"/>
          <w:color w:val="000000"/>
          <w:sz w:val="24"/>
          <w:szCs w:val="24"/>
        </w:rPr>
        <w:t xml:space="preserve"> Soil (OL). It has a UCS value of 50 </w:t>
      </w:r>
      <w:proofErr w:type="spellStart"/>
      <w:r w:rsidRPr="0029686C">
        <w:rPr>
          <w:rFonts w:ascii="Times New Roman" w:eastAsia="Times New Roman" w:hAnsi="Times New Roman" w:cs="Times New Roman"/>
          <w:color w:val="000000"/>
          <w:sz w:val="24"/>
          <w:szCs w:val="24"/>
        </w:rPr>
        <w:t>kN</w:t>
      </w:r>
      <w:proofErr w:type="spellEnd"/>
      <w:r w:rsidRPr="0029686C">
        <w:rPr>
          <w:rFonts w:ascii="Times New Roman" w:eastAsia="Times New Roman" w:hAnsi="Times New Roman" w:cs="Times New Roman"/>
          <w:color w:val="000000"/>
          <w:sz w:val="24"/>
          <w:szCs w:val="24"/>
        </w:rPr>
        <w:t>/m</w:t>
      </w:r>
      <w:r w:rsidRPr="0029686C">
        <w:rPr>
          <w:rFonts w:ascii="Times New Roman" w:eastAsia="Times New Roman" w:hAnsi="Times New Roman" w:cs="Times New Roman"/>
          <w:color w:val="000000"/>
          <w:sz w:val="24"/>
          <w:szCs w:val="24"/>
          <w:vertAlign w:val="superscript"/>
        </w:rPr>
        <w:t xml:space="preserve">2 </w:t>
      </w:r>
      <w:r w:rsidRPr="0029686C">
        <w:rPr>
          <w:rFonts w:ascii="Times New Roman" w:eastAsia="Times New Roman" w:hAnsi="Times New Roman" w:cs="Times New Roman"/>
          <w:color w:val="000000"/>
          <w:sz w:val="24"/>
          <w:szCs w:val="24"/>
        </w:rPr>
        <w:t>and CBR value of 10 %. The major oxides, functional groups, and crystal compounds presents in the soil were Ferric oxides (Fe</w:t>
      </w:r>
      <w:r w:rsidRPr="0029686C">
        <w:rPr>
          <w:rFonts w:ascii="Times New Roman" w:eastAsia="Times New Roman" w:hAnsi="Times New Roman" w:cs="Times New Roman"/>
          <w:color w:val="000000"/>
          <w:sz w:val="24"/>
          <w:szCs w:val="24"/>
          <w:vertAlign w:val="subscript"/>
        </w:rPr>
        <w:t>2</w:t>
      </w:r>
      <w:r w:rsidRPr="0029686C">
        <w:rPr>
          <w:rFonts w:ascii="Times New Roman" w:eastAsia="Times New Roman" w:hAnsi="Times New Roman" w:cs="Times New Roman"/>
          <w:color w:val="000000"/>
          <w:sz w:val="24"/>
          <w:szCs w:val="24"/>
        </w:rPr>
        <w:t>O</w:t>
      </w:r>
      <w:r w:rsidRPr="0029686C">
        <w:rPr>
          <w:rFonts w:ascii="Times New Roman" w:eastAsia="Times New Roman" w:hAnsi="Times New Roman" w:cs="Times New Roman"/>
          <w:color w:val="000000"/>
          <w:sz w:val="24"/>
          <w:szCs w:val="24"/>
          <w:vertAlign w:val="subscript"/>
        </w:rPr>
        <w:t>3</w:t>
      </w:r>
      <w:r w:rsidRPr="0029686C">
        <w:rPr>
          <w:rFonts w:ascii="Times New Roman" w:eastAsia="Times New Roman" w:hAnsi="Times New Roman" w:cs="Times New Roman"/>
          <w:color w:val="000000"/>
          <w:sz w:val="24"/>
          <w:szCs w:val="24"/>
        </w:rPr>
        <w:t>), hydroxyl (O-H) group, and quartz (SiO</w:t>
      </w:r>
      <w:r w:rsidRPr="0029686C">
        <w:rPr>
          <w:rFonts w:ascii="Times New Roman" w:eastAsia="Times New Roman" w:hAnsi="Times New Roman" w:cs="Times New Roman"/>
          <w:color w:val="000000"/>
          <w:sz w:val="24"/>
          <w:szCs w:val="24"/>
          <w:vertAlign w:val="subscript"/>
        </w:rPr>
        <w:t>2</w:t>
      </w:r>
      <w:r w:rsidRPr="0029686C">
        <w:rPr>
          <w:rFonts w:ascii="Times New Roman" w:eastAsia="Times New Roman" w:hAnsi="Times New Roman" w:cs="Times New Roman"/>
          <w:color w:val="000000"/>
          <w:sz w:val="24"/>
          <w:szCs w:val="24"/>
        </w:rPr>
        <w:t>), respectively with a spongy surface. The CR was found to be light weighted Gs (between 1.01 and 1.06), and the major oxides, functional group, and amorphous compounds present were Zinc Oxides (</w:t>
      </w:r>
      <w:proofErr w:type="spellStart"/>
      <w:r w:rsidRPr="0029686C">
        <w:rPr>
          <w:rFonts w:ascii="Times New Roman" w:eastAsia="Times New Roman" w:hAnsi="Times New Roman" w:cs="Times New Roman"/>
          <w:color w:val="000000"/>
          <w:sz w:val="24"/>
          <w:szCs w:val="24"/>
        </w:rPr>
        <w:t>ZnO</w:t>
      </w:r>
      <w:proofErr w:type="spellEnd"/>
      <w:r w:rsidRPr="0029686C">
        <w:rPr>
          <w:rFonts w:ascii="Times New Roman" w:eastAsia="Times New Roman" w:hAnsi="Times New Roman" w:cs="Times New Roman"/>
          <w:color w:val="000000"/>
          <w:sz w:val="24"/>
          <w:szCs w:val="24"/>
        </w:rPr>
        <w:t xml:space="preserve">), Aromatic (C-H), and Polystyrene, respectively. Similarly, the SCRMs showed increase in Gs (which ranges from 1.99 to 2.30), the highest value of PI, UCS and CBR were obtained at 5% optimum CR replacement as 15.58% for SCRM4 (4.75 mm), 393.36 </w:t>
      </w:r>
      <w:proofErr w:type="spellStart"/>
      <w:r w:rsidRPr="0029686C">
        <w:rPr>
          <w:rFonts w:ascii="Times New Roman" w:eastAsia="Times New Roman" w:hAnsi="Times New Roman" w:cs="Times New Roman"/>
          <w:color w:val="000000"/>
          <w:sz w:val="24"/>
          <w:szCs w:val="24"/>
        </w:rPr>
        <w:t>kN</w:t>
      </w:r>
      <w:proofErr w:type="spellEnd"/>
      <w:r w:rsidRPr="0029686C">
        <w:rPr>
          <w:rFonts w:ascii="Times New Roman" w:eastAsia="Times New Roman" w:hAnsi="Times New Roman" w:cs="Times New Roman"/>
          <w:color w:val="000000"/>
          <w:sz w:val="24"/>
          <w:szCs w:val="24"/>
        </w:rPr>
        <w:t>/m</w:t>
      </w:r>
      <w:r w:rsidRPr="0029686C">
        <w:rPr>
          <w:rFonts w:ascii="Times New Roman" w:eastAsia="Times New Roman" w:hAnsi="Times New Roman" w:cs="Times New Roman"/>
          <w:color w:val="000000"/>
          <w:sz w:val="24"/>
          <w:szCs w:val="24"/>
          <w:vertAlign w:val="superscript"/>
        </w:rPr>
        <w:t xml:space="preserve">2 </w:t>
      </w:r>
      <w:r w:rsidRPr="0029686C">
        <w:rPr>
          <w:rFonts w:ascii="Times New Roman" w:eastAsia="Times New Roman" w:hAnsi="Times New Roman" w:cs="Times New Roman"/>
          <w:color w:val="000000"/>
          <w:sz w:val="24"/>
          <w:szCs w:val="24"/>
        </w:rPr>
        <w:t xml:space="preserve">for SCRM2(1.18 mm) and 16.61% for SCRM4 </w:t>
      </w:r>
      <w:r w:rsidRPr="0029686C">
        <w:rPr>
          <w:rFonts w:ascii="Times New Roman" w:eastAsia="Times New Roman" w:hAnsi="Times New Roman" w:cs="Times New Roman"/>
          <w:color w:val="000000"/>
          <w:sz w:val="24"/>
          <w:szCs w:val="24"/>
        </w:rPr>
        <w:lastRenderedPageBreak/>
        <w:t>(4.75 mm) respectively. The XRF result on optimized samples (SCRM2 and SCRM4 at 5%) indicated the presence of SO</w:t>
      </w:r>
      <w:r w:rsidRPr="0029686C">
        <w:rPr>
          <w:rFonts w:ascii="Times New Roman" w:eastAsia="Times New Roman" w:hAnsi="Times New Roman" w:cs="Times New Roman"/>
          <w:color w:val="000000"/>
          <w:sz w:val="24"/>
          <w:szCs w:val="24"/>
          <w:vertAlign w:val="subscript"/>
        </w:rPr>
        <w:t>3</w:t>
      </w:r>
      <w:r w:rsidRPr="0029686C">
        <w:rPr>
          <w:rFonts w:ascii="Times New Roman" w:eastAsia="Times New Roman" w:hAnsi="Times New Roman" w:cs="Times New Roman"/>
          <w:color w:val="000000"/>
          <w:sz w:val="24"/>
          <w:szCs w:val="24"/>
        </w:rPr>
        <w:t>, decrease in Fe</w:t>
      </w:r>
      <w:r w:rsidRPr="0029686C">
        <w:rPr>
          <w:rFonts w:ascii="Times New Roman" w:eastAsia="Times New Roman" w:hAnsi="Times New Roman" w:cs="Times New Roman"/>
          <w:color w:val="000000"/>
          <w:sz w:val="24"/>
          <w:szCs w:val="24"/>
          <w:vertAlign w:val="subscript"/>
        </w:rPr>
        <w:t>2</w:t>
      </w:r>
      <w:r w:rsidRPr="0029686C">
        <w:rPr>
          <w:rFonts w:ascii="Times New Roman" w:eastAsia="Times New Roman" w:hAnsi="Times New Roman" w:cs="Times New Roman"/>
          <w:color w:val="000000"/>
          <w:sz w:val="24"/>
          <w:szCs w:val="24"/>
        </w:rPr>
        <w:t>O</w:t>
      </w:r>
      <w:r w:rsidRPr="0029686C">
        <w:rPr>
          <w:rFonts w:ascii="Times New Roman" w:eastAsia="Times New Roman" w:hAnsi="Times New Roman" w:cs="Times New Roman"/>
          <w:color w:val="000000"/>
          <w:sz w:val="24"/>
          <w:szCs w:val="24"/>
          <w:vertAlign w:val="subscript"/>
        </w:rPr>
        <w:t>3</w:t>
      </w:r>
      <w:r w:rsidRPr="0029686C">
        <w:rPr>
          <w:rFonts w:ascii="Times New Roman" w:eastAsia="Times New Roman" w:hAnsi="Times New Roman" w:cs="Times New Roman"/>
          <w:color w:val="000000"/>
          <w:sz w:val="24"/>
          <w:szCs w:val="24"/>
        </w:rPr>
        <w:t>, ZrO</w:t>
      </w:r>
      <w:r w:rsidRPr="0029686C">
        <w:rPr>
          <w:rFonts w:ascii="Times New Roman" w:eastAsia="Times New Roman" w:hAnsi="Times New Roman" w:cs="Times New Roman"/>
          <w:color w:val="000000"/>
          <w:sz w:val="24"/>
          <w:szCs w:val="24"/>
          <w:vertAlign w:val="subscript"/>
        </w:rPr>
        <w:t>2</w:t>
      </w:r>
      <w:r w:rsidRPr="0029686C">
        <w:rPr>
          <w:rFonts w:ascii="Times New Roman" w:eastAsia="Times New Roman" w:hAnsi="Times New Roman" w:cs="Times New Roman"/>
          <w:color w:val="000000"/>
          <w:sz w:val="24"/>
          <w:szCs w:val="24"/>
        </w:rPr>
        <w:t xml:space="preserve">, </w:t>
      </w:r>
      <w:proofErr w:type="gramStart"/>
      <w:r w:rsidRPr="0029686C">
        <w:rPr>
          <w:rFonts w:ascii="Times New Roman" w:eastAsia="Times New Roman" w:hAnsi="Times New Roman" w:cs="Times New Roman"/>
          <w:color w:val="000000"/>
          <w:sz w:val="24"/>
          <w:szCs w:val="24"/>
        </w:rPr>
        <w:t>TiO</w:t>
      </w:r>
      <w:r w:rsidRPr="0029686C">
        <w:rPr>
          <w:rFonts w:ascii="Times New Roman" w:eastAsia="Times New Roman" w:hAnsi="Times New Roman" w:cs="Times New Roman"/>
          <w:color w:val="000000"/>
          <w:sz w:val="24"/>
          <w:szCs w:val="24"/>
          <w:vertAlign w:val="subscript"/>
        </w:rPr>
        <w:t>2</w:t>
      </w:r>
      <w:proofErr w:type="gramEnd"/>
      <w:r w:rsidRPr="0029686C">
        <w:rPr>
          <w:rFonts w:ascii="Times New Roman" w:eastAsia="Times New Roman" w:hAnsi="Times New Roman" w:cs="Times New Roman"/>
          <w:color w:val="000000"/>
          <w:sz w:val="24"/>
          <w:szCs w:val="24"/>
        </w:rPr>
        <w:t xml:space="preserve"> while there is increase in </w:t>
      </w:r>
      <w:proofErr w:type="spellStart"/>
      <w:r w:rsidRPr="0029686C">
        <w:rPr>
          <w:rFonts w:ascii="Times New Roman" w:eastAsia="Times New Roman" w:hAnsi="Times New Roman" w:cs="Times New Roman"/>
          <w:color w:val="000000"/>
          <w:sz w:val="24"/>
          <w:szCs w:val="24"/>
        </w:rPr>
        <w:t>ZnO</w:t>
      </w:r>
      <w:proofErr w:type="spellEnd"/>
      <w:r w:rsidRPr="0029686C">
        <w:rPr>
          <w:rFonts w:ascii="Times New Roman" w:eastAsia="Times New Roman" w:hAnsi="Times New Roman" w:cs="Times New Roman"/>
          <w:color w:val="000000"/>
          <w:sz w:val="24"/>
          <w:szCs w:val="24"/>
        </w:rPr>
        <w:t>, SiO</w:t>
      </w:r>
      <w:r w:rsidRPr="0029686C">
        <w:rPr>
          <w:rFonts w:ascii="Times New Roman" w:eastAsia="Times New Roman" w:hAnsi="Times New Roman" w:cs="Times New Roman"/>
          <w:color w:val="000000"/>
          <w:sz w:val="24"/>
          <w:szCs w:val="24"/>
          <w:vertAlign w:val="subscript"/>
        </w:rPr>
        <w:t>2</w:t>
      </w:r>
      <w:r w:rsidRPr="0029686C">
        <w:rPr>
          <w:rFonts w:ascii="Times New Roman" w:eastAsia="Times New Roman" w:hAnsi="Times New Roman" w:cs="Times New Roman"/>
          <w:color w:val="000000"/>
          <w:sz w:val="24"/>
          <w:szCs w:val="24"/>
        </w:rPr>
        <w:t xml:space="preserve">, </w:t>
      </w:r>
      <w:proofErr w:type="spellStart"/>
      <w:r w:rsidRPr="0029686C">
        <w:rPr>
          <w:rFonts w:ascii="Times New Roman" w:eastAsia="Times New Roman" w:hAnsi="Times New Roman" w:cs="Times New Roman"/>
          <w:color w:val="000000"/>
          <w:sz w:val="24"/>
          <w:szCs w:val="24"/>
        </w:rPr>
        <w:t>CaO</w:t>
      </w:r>
      <w:proofErr w:type="spellEnd"/>
      <w:r w:rsidRPr="0029686C">
        <w:rPr>
          <w:rFonts w:ascii="Times New Roman" w:eastAsia="Times New Roman" w:hAnsi="Times New Roman" w:cs="Times New Roman"/>
          <w:color w:val="000000"/>
          <w:sz w:val="24"/>
          <w:szCs w:val="24"/>
        </w:rPr>
        <w:t>, and Al</w:t>
      </w:r>
      <w:r w:rsidRPr="0029686C">
        <w:rPr>
          <w:rFonts w:ascii="Times New Roman" w:eastAsia="Times New Roman" w:hAnsi="Times New Roman" w:cs="Times New Roman"/>
          <w:color w:val="000000"/>
          <w:sz w:val="24"/>
          <w:szCs w:val="24"/>
          <w:vertAlign w:val="subscript"/>
        </w:rPr>
        <w:t>2</w:t>
      </w:r>
      <w:r w:rsidRPr="0029686C">
        <w:rPr>
          <w:rFonts w:ascii="Times New Roman" w:eastAsia="Times New Roman" w:hAnsi="Times New Roman" w:cs="Times New Roman"/>
          <w:color w:val="000000"/>
          <w:sz w:val="24"/>
          <w:szCs w:val="24"/>
        </w:rPr>
        <w:t>O</w:t>
      </w:r>
      <w:r w:rsidRPr="0029686C">
        <w:rPr>
          <w:rFonts w:ascii="Times New Roman" w:eastAsia="Times New Roman" w:hAnsi="Times New Roman" w:cs="Times New Roman"/>
          <w:color w:val="000000"/>
          <w:sz w:val="24"/>
          <w:szCs w:val="24"/>
          <w:vertAlign w:val="subscript"/>
        </w:rPr>
        <w:t>3</w:t>
      </w:r>
      <w:r w:rsidRPr="0029686C">
        <w:rPr>
          <w:rFonts w:ascii="Times New Roman" w:eastAsia="Times New Roman" w:hAnsi="Times New Roman" w:cs="Times New Roman"/>
          <w:color w:val="000000"/>
          <w:sz w:val="24"/>
          <w:szCs w:val="24"/>
        </w:rPr>
        <w:t xml:space="preserve"> in the samples. The FT-IR result showed that hydroxyl (O-H) group was maintained for both samples, while XRD result showed the presence of polypropylene in SCRM2 and methyl-styrene in SCRM4. The SEM images showed that the SCRM4 appeared more smooth and cohesively bonded while SCRM2 appeared intermediate compared to the virgin soil. This study revealed that there are improvements in the Unconfined Compressive Strength (UCS) and California Bearing Ratio (CBR) of the selected soft soil with crumb-rubber as stabilizer at 5% optimal percentage for SCRM2 and SCRM4 for respectively. </w:t>
      </w:r>
    </w:p>
    <w:p w:rsidR="009537F4" w:rsidRDefault="009537F4"/>
    <w:sectPr w:rsidR="009537F4" w:rsidSect="009537F4">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Baskerville Old Face">
    <w:panose1 w:val="02020602080505020303"/>
    <w:charset w:val="00"/>
    <w:family w:val="roman"/>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758D3" w:rsidRDefault="004E77C1">
    <w:pPr>
      <w:pStyle w:val="Footer"/>
      <w:jc w:val="center"/>
    </w:pPr>
  </w:p>
  <w:p w:rsidR="003758D3" w:rsidRDefault="004E77C1" w:rsidP="006E0CAB">
    <w:pPr>
      <w:pStyle w:val="Footer"/>
      <w:tabs>
        <w:tab w:val="clear" w:pos="4680"/>
        <w:tab w:val="clear" w:pos="9360"/>
        <w:tab w:val="left" w:pos="5595"/>
      </w:tabs>
    </w:pPr>
  </w:p>
</w:ftr>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758D3" w:rsidRPr="003A4CAB" w:rsidRDefault="004E77C1" w:rsidP="003A4CAB">
    <w:pPr>
      <w:pStyle w:val="Header"/>
      <w:jc w:val="both"/>
      <w:rPr>
        <w:rFonts w:ascii="Baskerville Old Face" w:hAnsi="Baskerville Old Face"/>
        <w:i/>
        <w:iCs/>
        <w:color w:val="0070C0"/>
        <w:sz w:val="24"/>
        <w:szCs w:val="24"/>
        <w:u w:val="thick"/>
      </w:rPr>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9"/>
  <w:proofState w:spelling="clean" w:grammar="clean"/>
  <w:defaultTabStop w:val="720"/>
  <w:characterSpacingControl w:val="doNotCompress"/>
  <w:compat/>
  <w:rsids>
    <w:rsidRoot w:val="004E77C1"/>
    <w:rsid w:val="004E77C1"/>
    <w:rsid w:val="009537F4"/>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E77C1"/>
    <w:pPr>
      <w:spacing w:after="160" w:line="259" w:lineRule="auto"/>
    </w:p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Default">
    <w:name w:val="Default"/>
    <w:rsid w:val="004E77C1"/>
    <w:pPr>
      <w:autoSpaceDE w:val="0"/>
      <w:autoSpaceDN w:val="0"/>
      <w:adjustRightInd w:val="0"/>
      <w:spacing w:after="0" w:line="240" w:lineRule="auto"/>
    </w:pPr>
    <w:rPr>
      <w:rFonts w:ascii="Times New Roman" w:hAnsi="Times New Roman" w:cs="Times New Roman"/>
      <w:color w:val="000000"/>
      <w:sz w:val="24"/>
      <w:szCs w:val="24"/>
    </w:rPr>
  </w:style>
  <w:style w:type="paragraph" w:styleId="ListParagraph">
    <w:name w:val="List Paragraph"/>
    <w:basedOn w:val="Normal"/>
    <w:uiPriority w:val="34"/>
    <w:qFormat/>
    <w:rsid w:val="004E77C1"/>
    <w:pPr>
      <w:ind w:left="720"/>
      <w:contextualSpacing/>
    </w:pPr>
  </w:style>
  <w:style w:type="paragraph" w:styleId="Header">
    <w:name w:val="header"/>
    <w:basedOn w:val="Normal"/>
    <w:link w:val="HeaderChar"/>
    <w:uiPriority w:val="99"/>
    <w:unhideWhenUsed/>
    <w:rsid w:val="004E77C1"/>
    <w:pPr>
      <w:tabs>
        <w:tab w:val="center" w:pos="4680"/>
        <w:tab w:val="right" w:pos="9360"/>
      </w:tabs>
      <w:spacing w:after="0" w:line="240" w:lineRule="auto"/>
    </w:pPr>
  </w:style>
  <w:style w:type="character" w:customStyle="1" w:styleId="HeaderChar">
    <w:name w:val="Header Char"/>
    <w:basedOn w:val="DefaultParagraphFont"/>
    <w:link w:val="Header"/>
    <w:uiPriority w:val="99"/>
    <w:rsid w:val="004E77C1"/>
  </w:style>
  <w:style w:type="paragraph" w:styleId="Footer">
    <w:name w:val="footer"/>
    <w:basedOn w:val="Normal"/>
    <w:link w:val="FooterChar"/>
    <w:uiPriority w:val="99"/>
    <w:unhideWhenUsed/>
    <w:rsid w:val="004E77C1"/>
    <w:pPr>
      <w:tabs>
        <w:tab w:val="center" w:pos="4680"/>
        <w:tab w:val="right" w:pos="9360"/>
      </w:tabs>
      <w:spacing w:after="0" w:line="240" w:lineRule="auto"/>
    </w:pPr>
  </w:style>
  <w:style w:type="character" w:customStyle="1" w:styleId="FooterChar">
    <w:name w:val="Footer Char"/>
    <w:basedOn w:val="DefaultParagraphFont"/>
    <w:link w:val="Footer"/>
    <w:uiPriority w:val="99"/>
    <w:rsid w:val="004E77C1"/>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footer" Target="footer1.xml"/><Relationship Id="rId4"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3</Pages>
  <Words>486</Words>
  <Characters>2775</Characters>
  <Application>Microsoft Office Word</Application>
  <DocSecurity>0</DocSecurity>
  <Lines>23</Lines>
  <Paragraphs>6</Paragraphs>
  <ScaleCrop>false</ScaleCrop>
  <Company/>
  <LinksUpToDate>false</LinksUpToDate>
  <CharactersWithSpaces>3255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FUNAAB LIBRARY</dc:creator>
  <cp:lastModifiedBy>FUNAAB LIBRARY</cp:lastModifiedBy>
  <cp:revision>1</cp:revision>
  <dcterms:created xsi:type="dcterms:W3CDTF">2025-12-04T09:30:00Z</dcterms:created>
  <dcterms:modified xsi:type="dcterms:W3CDTF">2025-12-04T09:31:00Z</dcterms:modified>
</cp:coreProperties>
</file>