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6505" w:rsidRDefault="00176505" w:rsidP="00176505">
      <w:pPr>
        <w:tabs>
          <w:tab w:val="left" w:pos="180"/>
        </w:tabs>
        <w:spacing w:line="480" w:lineRule="auto"/>
        <w:jc w:val="center"/>
        <w:rPr>
          <w:rFonts w:eastAsiaTheme="minorEastAsia" w:cs="Times New Roman"/>
          <w:b/>
          <w:color w:val="0D0D0D" w:themeColor="text1" w:themeTint="F2"/>
          <w:lang w:eastAsia="zh-CN"/>
        </w:rPr>
      </w:pPr>
      <w:r>
        <w:rPr>
          <w:rFonts w:eastAsia="Times New Roman" w:cs="Times New Roman"/>
          <w:b/>
          <w:color w:val="0D0D0D" w:themeColor="text1" w:themeTint="F2"/>
        </w:rPr>
        <w:t>EFFECT OF SPOTTED PUMPKIN (</w:t>
      </w:r>
      <w:proofErr w:type="spellStart"/>
      <w:r>
        <w:rPr>
          <w:rFonts w:eastAsia="Times New Roman" w:cs="Times New Roman"/>
          <w:b/>
          <w:i/>
          <w:color w:val="0D0D0D" w:themeColor="text1" w:themeTint="F2"/>
        </w:rPr>
        <w:t>Lagenaria</w:t>
      </w:r>
      <w:proofErr w:type="spellEnd"/>
      <w:r>
        <w:rPr>
          <w:rFonts w:eastAsia="Times New Roman" w:cs="Times New Roman"/>
          <w:b/>
          <w:i/>
          <w:color w:val="0D0D0D" w:themeColor="text1" w:themeTint="F2"/>
        </w:rPr>
        <w:t xml:space="preserve"> </w:t>
      </w:r>
      <w:proofErr w:type="spellStart"/>
      <w:r>
        <w:rPr>
          <w:rFonts w:eastAsia="Times New Roman" w:cs="Times New Roman"/>
          <w:b/>
          <w:i/>
          <w:color w:val="0D0D0D" w:themeColor="text1" w:themeTint="F2"/>
        </w:rPr>
        <w:t>breviflora</w:t>
      </w:r>
      <w:proofErr w:type="spellEnd"/>
      <w:r>
        <w:rPr>
          <w:rFonts w:eastAsia="Times New Roman" w:cs="Times New Roman"/>
          <w:b/>
          <w:color w:val="0D0D0D" w:themeColor="text1" w:themeTint="F2"/>
        </w:rPr>
        <w:t xml:space="preserve">) FRUIT </w:t>
      </w:r>
      <w:r>
        <w:rPr>
          <w:rFonts w:cs="Times New Roman"/>
          <w:b/>
          <w:bCs/>
          <w:color w:val="0D0D0D" w:themeColor="text1" w:themeTint="F2"/>
        </w:rPr>
        <w:t>AQUEOUS</w:t>
      </w:r>
      <w:r>
        <w:rPr>
          <w:rFonts w:eastAsia="Times New Roman" w:cs="Times New Roman"/>
          <w:b/>
          <w:color w:val="0D0D0D" w:themeColor="text1" w:themeTint="F2"/>
        </w:rPr>
        <w:t xml:space="preserve"> EXTRACT ON GROWTH PERFORMANCE, BEHAVIOUR, BLOOD PROFILE AND CARCASS YIELD OF BROILER CHICKENS</w:t>
      </w:r>
    </w:p>
    <w:p w:rsidR="00176505" w:rsidRDefault="00176505" w:rsidP="00176505">
      <w:pPr>
        <w:tabs>
          <w:tab w:val="left" w:pos="180"/>
        </w:tabs>
        <w:spacing w:before="240" w:line="480" w:lineRule="auto"/>
        <w:ind w:left="180" w:right="-20"/>
        <w:jc w:val="center"/>
        <w:rPr>
          <w:rFonts w:eastAsiaTheme="minorEastAsia" w:cs="Times New Roman"/>
          <w:color w:val="0D0D0D" w:themeColor="text1" w:themeTint="F2"/>
          <w:lang w:eastAsia="zh-CN"/>
        </w:rPr>
      </w:pPr>
      <w:r>
        <w:rPr>
          <w:rFonts w:eastAsia="Times New Roman" w:cs="Times New Roman"/>
          <w:b/>
          <w:color w:val="0D0D0D" w:themeColor="text1" w:themeTint="F2"/>
        </w:rPr>
        <w:t>BY</w:t>
      </w:r>
    </w:p>
    <w:p w:rsidR="00176505" w:rsidRDefault="00176505" w:rsidP="00176505">
      <w:pPr>
        <w:tabs>
          <w:tab w:val="left" w:pos="180"/>
        </w:tabs>
        <w:spacing w:before="240" w:line="480" w:lineRule="auto"/>
        <w:ind w:left="180" w:right="-20"/>
        <w:jc w:val="center"/>
        <w:rPr>
          <w:rFonts w:eastAsiaTheme="minorEastAsia" w:cs="Times New Roman"/>
          <w:b/>
          <w:color w:val="0D0D0D" w:themeColor="text1" w:themeTint="F2"/>
          <w:lang w:eastAsia="zh-CN"/>
        </w:rPr>
      </w:pPr>
    </w:p>
    <w:p w:rsidR="00176505" w:rsidRDefault="00176505" w:rsidP="00176505">
      <w:pPr>
        <w:tabs>
          <w:tab w:val="left" w:pos="180"/>
        </w:tabs>
        <w:spacing w:line="480" w:lineRule="auto"/>
        <w:ind w:left="180" w:right="-20"/>
        <w:jc w:val="center"/>
        <w:rPr>
          <w:rFonts w:eastAsia="Times New Roman" w:cs="Times New Roman"/>
          <w:b/>
          <w:color w:val="0D0D0D" w:themeColor="text1" w:themeTint="F2"/>
        </w:rPr>
      </w:pPr>
      <w:r>
        <w:rPr>
          <w:rFonts w:eastAsia="Times New Roman" w:cs="Times New Roman"/>
          <w:b/>
          <w:color w:val="0D0D0D" w:themeColor="text1" w:themeTint="F2"/>
        </w:rPr>
        <w:t>ENITAN, ADEBAYO OLUWATOMIWA</w:t>
      </w:r>
    </w:p>
    <w:p w:rsidR="00176505" w:rsidRDefault="00176505" w:rsidP="00176505">
      <w:pPr>
        <w:tabs>
          <w:tab w:val="left" w:pos="180"/>
        </w:tabs>
        <w:spacing w:line="480" w:lineRule="auto"/>
        <w:ind w:left="180" w:right="-20"/>
        <w:jc w:val="center"/>
        <w:rPr>
          <w:rFonts w:eastAsia="Times New Roman" w:cs="Times New Roman"/>
          <w:b/>
          <w:color w:val="0D0D0D" w:themeColor="text1" w:themeTint="F2"/>
        </w:rPr>
      </w:pPr>
      <w:r>
        <w:rPr>
          <w:rFonts w:eastAsia="Times New Roman" w:cs="Times New Roman"/>
          <w:b/>
          <w:color w:val="0D0D0D" w:themeColor="text1" w:themeTint="F2"/>
        </w:rPr>
        <w:t>PG 21/ 0264</w:t>
      </w:r>
    </w:p>
    <w:p w:rsidR="00176505" w:rsidRDefault="00176505" w:rsidP="00176505">
      <w:pPr>
        <w:tabs>
          <w:tab w:val="left" w:pos="180"/>
        </w:tabs>
        <w:spacing w:line="480" w:lineRule="auto"/>
        <w:ind w:left="180" w:right="-20"/>
        <w:jc w:val="center"/>
        <w:rPr>
          <w:rFonts w:eastAsiaTheme="minorEastAsia" w:cs="Times New Roman"/>
          <w:b/>
          <w:color w:val="0D0D0D" w:themeColor="text1" w:themeTint="F2"/>
          <w:lang w:eastAsia="zh-CN"/>
        </w:rPr>
      </w:pPr>
      <w:r>
        <w:rPr>
          <w:rFonts w:eastAsia="Times New Roman" w:cs="Times New Roman"/>
          <w:b/>
          <w:color w:val="0D0D0D" w:themeColor="text1" w:themeTint="F2"/>
        </w:rPr>
        <w:t xml:space="preserve">B.AGRIC (ABEOKUTA) </w:t>
      </w:r>
    </w:p>
    <w:p w:rsidR="00176505" w:rsidRDefault="00176505" w:rsidP="00176505">
      <w:pPr>
        <w:tabs>
          <w:tab w:val="left" w:pos="180"/>
        </w:tabs>
        <w:spacing w:before="240" w:line="480" w:lineRule="auto"/>
        <w:ind w:left="180" w:right="-20"/>
        <w:jc w:val="center"/>
        <w:rPr>
          <w:rFonts w:eastAsiaTheme="minorEastAsia" w:cs="Times New Roman"/>
          <w:b/>
          <w:color w:val="0D0D0D" w:themeColor="text1" w:themeTint="F2"/>
          <w:lang w:eastAsia="zh-CN"/>
        </w:rPr>
      </w:pPr>
    </w:p>
    <w:p w:rsidR="00176505" w:rsidRDefault="00176505" w:rsidP="00176505">
      <w:pPr>
        <w:tabs>
          <w:tab w:val="left" w:pos="180"/>
        </w:tabs>
        <w:spacing w:before="240" w:line="480" w:lineRule="auto"/>
        <w:ind w:left="180" w:right="-20"/>
        <w:jc w:val="center"/>
        <w:rPr>
          <w:rFonts w:eastAsiaTheme="minorEastAsia" w:cs="Times New Roman"/>
          <w:b/>
          <w:color w:val="0D0D0D" w:themeColor="text1" w:themeTint="F2"/>
          <w:lang w:eastAsia="zh-CN"/>
        </w:rPr>
      </w:pPr>
    </w:p>
    <w:p w:rsidR="00176505" w:rsidRDefault="00176505" w:rsidP="00176505">
      <w:pPr>
        <w:spacing w:after="0" w:line="480" w:lineRule="auto"/>
        <w:jc w:val="center"/>
        <w:rPr>
          <w:rFonts w:eastAsia="Calibri" w:cs="Times New Roman"/>
          <w:b/>
        </w:rPr>
      </w:pPr>
      <w:r>
        <w:rPr>
          <w:rFonts w:eastAsia="Calibri" w:cs="Times New Roman"/>
          <w:b/>
        </w:rPr>
        <w:t>A dissertation submitted to the Department of Animal Production and Health,</w:t>
      </w:r>
    </w:p>
    <w:p w:rsidR="00176505" w:rsidRDefault="00176505" w:rsidP="00176505">
      <w:pPr>
        <w:spacing w:after="0" w:line="480" w:lineRule="auto"/>
        <w:jc w:val="center"/>
        <w:rPr>
          <w:rFonts w:eastAsia="Calibri" w:cs="Times New Roman"/>
          <w:b/>
        </w:rPr>
      </w:pPr>
      <w:r>
        <w:rPr>
          <w:rFonts w:eastAsia="Calibri" w:cs="Times New Roman"/>
          <w:b/>
        </w:rPr>
        <w:t xml:space="preserve">College of Animal Science and Livestock Production, Federal University of Agriculture, Abeokuta, in partial </w:t>
      </w:r>
      <w:proofErr w:type="spellStart"/>
      <w:r>
        <w:rPr>
          <w:rFonts w:eastAsia="Calibri" w:cs="Times New Roman"/>
          <w:b/>
        </w:rPr>
        <w:t>fulfilment</w:t>
      </w:r>
      <w:proofErr w:type="spellEnd"/>
      <w:r>
        <w:rPr>
          <w:rFonts w:eastAsia="Calibri" w:cs="Times New Roman"/>
          <w:b/>
        </w:rPr>
        <w:t xml:space="preserve"> of the requirements for the award of degree of Master</w:t>
      </w:r>
    </w:p>
    <w:p w:rsidR="00176505" w:rsidRDefault="00176505" w:rsidP="00176505">
      <w:pPr>
        <w:spacing w:after="0" w:line="480" w:lineRule="auto"/>
        <w:jc w:val="center"/>
        <w:rPr>
          <w:rFonts w:eastAsia="Calibri" w:cs="Times New Roman"/>
          <w:b/>
        </w:rPr>
      </w:pPr>
      <w:proofErr w:type="gramStart"/>
      <w:r>
        <w:rPr>
          <w:rFonts w:eastAsia="Calibri" w:cs="Times New Roman"/>
          <w:b/>
        </w:rPr>
        <w:t>o</w:t>
      </w:r>
      <w:bookmarkStart w:id="0" w:name="_GoBack"/>
      <w:bookmarkEnd w:id="0"/>
      <w:r>
        <w:rPr>
          <w:rFonts w:eastAsia="Calibri" w:cs="Times New Roman"/>
          <w:b/>
        </w:rPr>
        <w:t>f</w:t>
      </w:r>
      <w:proofErr w:type="gramEnd"/>
      <w:r>
        <w:rPr>
          <w:rFonts w:eastAsia="Calibri" w:cs="Times New Roman"/>
          <w:b/>
        </w:rPr>
        <w:t xml:space="preserve"> Agriculture in Non-Ruminant Production</w:t>
      </w:r>
    </w:p>
    <w:p w:rsidR="00176505" w:rsidRDefault="00176505" w:rsidP="00176505">
      <w:pPr>
        <w:tabs>
          <w:tab w:val="left" w:pos="180"/>
        </w:tabs>
        <w:spacing w:before="240" w:line="480" w:lineRule="auto"/>
        <w:jc w:val="center"/>
        <w:rPr>
          <w:rFonts w:eastAsia="Times New Roman" w:cs="Times New Roman"/>
          <w:b/>
          <w:color w:val="0D0D0D" w:themeColor="text1" w:themeTint="F2"/>
        </w:rPr>
      </w:pPr>
      <w:r>
        <w:rPr>
          <w:rFonts w:eastAsia="Times New Roman" w:cs="Times New Roman"/>
          <w:b/>
          <w:color w:val="0D0D0D" w:themeColor="text1" w:themeTint="F2"/>
        </w:rPr>
        <w:tab/>
      </w:r>
      <w:r>
        <w:rPr>
          <w:rFonts w:eastAsia="Times New Roman" w:cs="Times New Roman"/>
          <w:b/>
          <w:color w:val="0D0D0D" w:themeColor="text1" w:themeTint="F2"/>
        </w:rPr>
        <w:tab/>
      </w:r>
      <w:r>
        <w:rPr>
          <w:rFonts w:eastAsia="Times New Roman" w:cs="Times New Roman"/>
          <w:b/>
          <w:color w:val="0D0D0D" w:themeColor="text1" w:themeTint="F2"/>
        </w:rPr>
        <w:tab/>
      </w:r>
      <w:r>
        <w:rPr>
          <w:rFonts w:eastAsia="Times New Roman" w:cs="Times New Roman"/>
          <w:b/>
          <w:color w:val="0D0D0D" w:themeColor="text1" w:themeTint="F2"/>
        </w:rPr>
        <w:tab/>
      </w:r>
      <w:r>
        <w:rPr>
          <w:rFonts w:eastAsia="Times New Roman" w:cs="Times New Roman"/>
          <w:b/>
          <w:color w:val="0D0D0D" w:themeColor="text1" w:themeTint="F2"/>
        </w:rPr>
        <w:tab/>
      </w:r>
      <w:r>
        <w:rPr>
          <w:rFonts w:eastAsia="Times New Roman" w:cs="Times New Roman"/>
          <w:b/>
          <w:color w:val="0D0D0D" w:themeColor="text1" w:themeTint="F2"/>
        </w:rPr>
        <w:tab/>
      </w:r>
      <w:r>
        <w:rPr>
          <w:rFonts w:eastAsia="Times New Roman" w:cs="Times New Roman"/>
          <w:b/>
          <w:color w:val="0D0D0D" w:themeColor="text1" w:themeTint="F2"/>
        </w:rPr>
        <w:tab/>
      </w:r>
      <w:r>
        <w:rPr>
          <w:rFonts w:eastAsia="Times New Roman" w:cs="Times New Roman"/>
          <w:b/>
          <w:color w:val="0D0D0D" w:themeColor="text1" w:themeTint="F2"/>
        </w:rPr>
        <w:tab/>
      </w:r>
      <w:r>
        <w:rPr>
          <w:rFonts w:eastAsia="Times New Roman" w:cs="Times New Roman"/>
          <w:b/>
          <w:color w:val="0D0D0D" w:themeColor="text1" w:themeTint="F2"/>
        </w:rPr>
        <w:tab/>
      </w:r>
      <w:r>
        <w:rPr>
          <w:rFonts w:eastAsia="Times New Roman" w:cs="Times New Roman"/>
          <w:b/>
          <w:color w:val="0D0D0D" w:themeColor="text1" w:themeTint="F2"/>
        </w:rPr>
        <w:tab/>
      </w:r>
      <w:r>
        <w:rPr>
          <w:rFonts w:eastAsia="Times New Roman" w:cs="Times New Roman"/>
          <w:b/>
          <w:color w:val="0D0D0D" w:themeColor="text1" w:themeTint="F2"/>
        </w:rPr>
        <w:tab/>
      </w:r>
      <w:r>
        <w:rPr>
          <w:rFonts w:eastAsia="Times New Roman" w:cs="Times New Roman"/>
          <w:b/>
          <w:color w:val="0D0D0D" w:themeColor="text1" w:themeTint="F2"/>
        </w:rPr>
        <w:tab/>
      </w:r>
      <w:r>
        <w:rPr>
          <w:rFonts w:eastAsia="Times New Roman" w:cs="Times New Roman"/>
          <w:b/>
          <w:color w:val="0D0D0D" w:themeColor="text1" w:themeTint="F2"/>
        </w:rPr>
        <w:tab/>
      </w:r>
      <w:r>
        <w:rPr>
          <w:rFonts w:eastAsia="Times New Roman" w:cs="Times New Roman"/>
          <w:b/>
          <w:color w:val="0D0D0D" w:themeColor="text1" w:themeTint="F2"/>
        </w:rPr>
        <w:tab/>
      </w:r>
      <w:r>
        <w:rPr>
          <w:rFonts w:eastAsia="Times New Roman" w:cs="Times New Roman"/>
          <w:b/>
          <w:color w:val="0D0D0D" w:themeColor="text1" w:themeTint="F2"/>
        </w:rPr>
        <w:tab/>
      </w:r>
      <w:r>
        <w:rPr>
          <w:rFonts w:eastAsia="Times New Roman" w:cs="Times New Roman"/>
          <w:b/>
          <w:color w:val="0D0D0D" w:themeColor="text1" w:themeTint="F2"/>
        </w:rPr>
        <w:tab/>
      </w:r>
      <w:r>
        <w:rPr>
          <w:rFonts w:eastAsia="Times New Roman" w:cs="Times New Roman"/>
          <w:b/>
          <w:color w:val="0D0D0D" w:themeColor="text1" w:themeTint="F2"/>
        </w:rPr>
        <w:tab/>
      </w:r>
      <w:r>
        <w:rPr>
          <w:rFonts w:eastAsia="Times New Roman" w:cs="Times New Roman"/>
          <w:b/>
          <w:color w:val="0D0D0D" w:themeColor="text1" w:themeTint="F2"/>
        </w:rPr>
        <w:tab/>
      </w:r>
      <w:r>
        <w:rPr>
          <w:rFonts w:eastAsia="Times New Roman" w:cs="Times New Roman"/>
          <w:b/>
          <w:color w:val="0D0D0D" w:themeColor="text1" w:themeTint="F2"/>
        </w:rPr>
        <w:tab/>
      </w:r>
      <w:r>
        <w:rPr>
          <w:rFonts w:eastAsia="Times New Roman" w:cs="Times New Roman"/>
          <w:b/>
          <w:color w:val="0D0D0D" w:themeColor="text1" w:themeTint="F2"/>
        </w:rPr>
        <w:tab/>
      </w:r>
      <w:r>
        <w:rPr>
          <w:rFonts w:eastAsia="Times New Roman" w:cs="Times New Roman"/>
          <w:b/>
          <w:color w:val="0D0D0D" w:themeColor="text1" w:themeTint="F2"/>
        </w:rPr>
        <w:tab/>
      </w:r>
      <w:r>
        <w:rPr>
          <w:rFonts w:eastAsia="Times New Roman" w:cs="Times New Roman"/>
          <w:b/>
          <w:color w:val="0D0D0D" w:themeColor="text1" w:themeTint="F2"/>
        </w:rPr>
        <w:tab/>
      </w:r>
      <w:r>
        <w:rPr>
          <w:rFonts w:eastAsia="Times New Roman" w:cs="Times New Roman"/>
          <w:b/>
          <w:color w:val="0D0D0D" w:themeColor="text1" w:themeTint="F2"/>
        </w:rPr>
        <w:tab/>
      </w:r>
      <w:r>
        <w:rPr>
          <w:rFonts w:eastAsia="Times New Roman" w:cs="Times New Roman"/>
          <w:b/>
          <w:color w:val="0D0D0D" w:themeColor="text1" w:themeTint="F2"/>
        </w:rPr>
        <w:tab/>
      </w:r>
      <w:r>
        <w:rPr>
          <w:rFonts w:eastAsia="Times New Roman" w:cs="Times New Roman"/>
          <w:b/>
          <w:color w:val="0D0D0D" w:themeColor="text1" w:themeTint="F2"/>
        </w:rPr>
        <w:tab/>
      </w:r>
      <w:r>
        <w:rPr>
          <w:rFonts w:eastAsia="Times New Roman" w:cs="Times New Roman"/>
          <w:b/>
          <w:color w:val="0D0D0D" w:themeColor="text1" w:themeTint="F2"/>
        </w:rPr>
        <w:tab/>
      </w:r>
    </w:p>
    <w:p w:rsidR="00176505" w:rsidRDefault="00176505" w:rsidP="00176505">
      <w:pPr>
        <w:tabs>
          <w:tab w:val="left" w:pos="180"/>
        </w:tabs>
        <w:spacing w:before="240" w:line="480" w:lineRule="auto"/>
        <w:jc w:val="center"/>
        <w:rPr>
          <w:rFonts w:eastAsia="Times New Roman" w:cs="Times New Roman"/>
          <w:b/>
          <w:color w:val="0D0D0D" w:themeColor="text1" w:themeTint="F2"/>
        </w:rPr>
      </w:pPr>
      <w:r>
        <w:rPr>
          <w:rFonts w:eastAsia="Times New Roman" w:cs="Times New Roman"/>
          <w:b/>
          <w:color w:val="0D0D0D" w:themeColor="text1" w:themeTint="F2"/>
        </w:rPr>
        <w:tab/>
      </w:r>
      <w:r>
        <w:rPr>
          <w:rFonts w:eastAsia="Times New Roman" w:cs="Times New Roman"/>
          <w:b/>
          <w:color w:val="0D0D0D" w:themeColor="text1" w:themeTint="F2"/>
        </w:rPr>
        <w:tab/>
      </w:r>
      <w:r>
        <w:rPr>
          <w:rFonts w:eastAsia="Times New Roman" w:cs="Times New Roman"/>
          <w:b/>
          <w:color w:val="0D0D0D" w:themeColor="text1" w:themeTint="F2"/>
        </w:rPr>
        <w:tab/>
      </w:r>
      <w:r>
        <w:rPr>
          <w:rFonts w:eastAsia="Times New Roman" w:cs="Times New Roman"/>
          <w:b/>
          <w:color w:val="0D0D0D" w:themeColor="text1" w:themeTint="F2"/>
        </w:rPr>
        <w:tab/>
      </w:r>
      <w:r>
        <w:rPr>
          <w:rFonts w:eastAsia="Times New Roman" w:cs="Times New Roman"/>
          <w:b/>
          <w:color w:val="0D0D0D" w:themeColor="text1" w:themeTint="F2"/>
        </w:rPr>
        <w:tab/>
      </w:r>
      <w:r>
        <w:rPr>
          <w:rFonts w:eastAsia="Times New Roman" w:cs="Times New Roman"/>
          <w:b/>
          <w:color w:val="0D0D0D" w:themeColor="text1" w:themeTint="F2"/>
        </w:rPr>
        <w:tab/>
      </w:r>
      <w:r>
        <w:rPr>
          <w:rFonts w:eastAsia="Times New Roman" w:cs="Times New Roman"/>
          <w:b/>
          <w:color w:val="0D0D0D" w:themeColor="text1" w:themeTint="F2"/>
        </w:rPr>
        <w:tab/>
      </w:r>
      <w:r>
        <w:rPr>
          <w:rFonts w:eastAsia="Times New Roman" w:cs="Times New Roman"/>
          <w:b/>
          <w:color w:val="0D0D0D" w:themeColor="text1" w:themeTint="F2"/>
        </w:rPr>
        <w:tab/>
      </w:r>
      <w:r>
        <w:rPr>
          <w:rFonts w:eastAsia="Times New Roman" w:cs="Times New Roman"/>
          <w:b/>
          <w:color w:val="0D0D0D" w:themeColor="text1" w:themeTint="F2"/>
        </w:rPr>
        <w:tab/>
      </w:r>
      <w:r>
        <w:rPr>
          <w:rFonts w:eastAsia="Times New Roman" w:cs="Times New Roman"/>
          <w:b/>
          <w:color w:val="0D0D0D" w:themeColor="text1" w:themeTint="F2"/>
        </w:rPr>
        <w:tab/>
      </w:r>
      <w:r>
        <w:rPr>
          <w:rFonts w:eastAsia="Times New Roman" w:cs="Times New Roman"/>
          <w:b/>
          <w:color w:val="0D0D0D" w:themeColor="text1" w:themeTint="F2"/>
        </w:rPr>
        <w:tab/>
      </w:r>
      <w:r>
        <w:rPr>
          <w:rFonts w:eastAsia="Times New Roman" w:cs="Times New Roman"/>
          <w:b/>
          <w:color w:val="0D0D0D" w:themeColor="text1" w:themeTint="F2"/>
        </w:rPr>
        <w:tab/>
        <w:t>JUNE, 2025</w:t>
      </w:r>
    </w:p>
    <w:p w:rsidR="00176505" w:rsidRPr="00244033" w:rsidRDefault="00176505" w:rsidP="00176505">
      <w:pPr>
        <w:tabs>
          <w:tab w:val="left" w:pos="180"/>
        </w:tabs>
        <w:spacing w:before="240" w:line="480" w:lineRule="auto"/>
        <w:jc w:val="center"/>
        <w:rPr>
          <w:rFonts w:ascii="Times New Roman" w:eastAsiaTheme="minorEastAsia" w:hAnsi="Times New Roman" w:cs="Times New Roman"/>
          <w:b/>
          <w:lang w:eastAsia="zh-CN"/>
        </w:rPr>
      </w:pPr>
    </w:p>
    <w:p w:rsidR="00176505" w:rsidRPr="00244033" w:rsidRDefault="00176505" w:rsidP="00176505">
      <w:pPr>
        <w:pStyle w:val="Heading1"/>
        <w:jc w:val="center"/>
        <w:rPr>
          <w:rFonts w:ascii="Times New Roman" w:hAnsi="Times New Roman" w:cs="Times New Roman"/>
          <w:b/>
          <w:color w:val="auto"/>
          <w:sz w:val="24"/>
          <w:szCs w:val="24"/>
        </w:rPr>
      </w:pPr>
      <w:bookmarkStart w:id="1" w:name="_Toc207488649"/>
      <w:r w:rsidRPr="00244033">
        <w:rPr>
          <w:rFonts w:ascii="Times New Roman" w:hAnsi="Times New Roman" w:cs="Times New Roman"/>
          <w:b/>
          <w:color w:val="auto"/>
          <w:sz w:val="24"/>
          <w:szCs w:val="24"/>
        </w:rPr>
        <w:lastRenderedPageBreak/>
        <w:t>ABSTRACT</w:t>
      </w:r>
      <w:bookmarkEnd w:id="1"/>
    </w:p>
    <w:p w:rsidR="00176505" w:rsidRPr="00244033" w:rsidRDefault="00176505" w:rsidP="00176505">
      <w:pPr>
        <w:tabs>
          <w:tab w:val="left" w:pos="180"/>
        </w:tabs>
        <w:spacing w:before="240" w:line="480" w:lineRule="auto"/>
        <w:ind w:left="180" w:right="-20"/>
        <w:jc w:val="both"/>
        <w:rPr>
          <w:rFonts w:ascii="Times New Roman" w:hAnsi="Times New Roman" w:cs="Times New Roman"/>
        </w:rPr>
      </w:pPr>
      <w:r w:rsidRPr="00244033">
        <w:rPr>
          <w:rFonts w:ascii="Times New Roman" w:hAnsi="Times New Roman" w:cs="Times New Roman"/>
        </w:rPr>
        <w:t xml:space="preserve">Growing concerns over the health risks and microbial resistance linked to synthetic growth promoters have increased the demand for natural, residue-free alternatives in poultry production. </w:t>
      </w:r>
      <w:r w:rsidRPr="00244033">
        <w:rPr>
          <w:rFonts w:ascii="Times New Roman" w:eastAsia="Times New Roman" w:hAnsi="Times New Roman" w:cs="Times New Roman"/>
        </w:rPr>
        <w:t xml:space="preserve">This study investigated the effects of </w:t>
      </w:r>
      <w:proofErr w:type="spellStart"/>
      <w:r w:rsidRPr="00244033">
        <w:rPr>
          <w:rFonts w:ascii="Times New Roman" w:eastAsia="Times New Roman" w:hAnsi="Times New Roman" w:cs="Times New Roman"/>
          <w:i/>
          <w:iCs/>
        </w:rPr>
        <w:t>Lagenaria</w:t>
      </w:r>
      <w:proofErr w:type="spellEnd"/>
      <w:r w:rsidRPr="00244033">
        <w:rPr>
          <w:rFonts w:ascii="Times New Roman" w:eastAsia="Times New Roman" w:hAnsi="Times New Roman" w:cs="Times New Roman"/>
          <w:i/>
          <w:iCs/>
        </w:rPr>
        <w:t xml:space="preserve"> </w:t>
      </w:r>
      <w:proofErr w:type="spellStart"/>
      <w:r w:rsidRPr="00244033">
        <w:rPr>
          <w:rFonts w:ascii="Times New Roman" w:eastAsia="Times New Roman" w:hAnsi="Times New Roman" w:cs="Times New Roman"/>
          <w:i/>
          <w:iCs/>
        </w:rPr>
        <w:t>breviflora</w:t>
      </w:r>
      <w:proofErr w:type="spellEnd"/>
      <w:r w:rsidRPr="00244033">
        <w:rPr>
          <w:rFonts w:ascii="Times New Roman" w:eastAsia="Times New Roman" w:hAnsi="Times New Roman" w:cs="Times New Roman"/>
        </w:rPr>
        <w:t xml:space="preserve"> (spotted pumpkin) fruit aqueous extract on growth performance, </w:t>
      </w:r>
      <w:proofErr w:type="spellStart"/>
      <w:r w:rsidRPr="00244033">
        <w:rPr>
          <w:rFonts w:ascii="Times New Roman" w:eastAsia="Times New Roman" w:hAnsi="Times New Roman" w:cs="Times New Roman"/>
        </w:rPr>
        <w:t>behaviour</w:t>
      </w:r>
      <w:proofErr w:type="spellEnd"/>
      <w:r w:rsidRPr="00244033">
        <w:rPr>
          <w:rFonts w:ascii="Times New Roman" w:eastAsia="Times New Roman" w:hAnsi="Times New Roman" w:cs="Times New Roman"/>
        </w:rPr>
        <w:t xml:space="preserve">, </w:t>
      </w:r>
      <w:proofErr w:type="spellStart"/>
      <w:r w:rsidRPr="00244033">
        <w:rPr>
          <w:rFonts w:ascii="Times New Roman" w:eastAsia="Times New Roman" w:hAnsi="Times New Roman" w:cs="Times New Roman"/>
        </w:rPr>
        <w:t>haematological</w:t>
      </w:r>
      <w:proofErr w:type="spellEnd"/>
      <w:r w:rsidRPr="00244033">
        <w:rPr>
          <w:rFonts w:ascii="Times New Roman" w:eastAsia="Times New Roman" w:hAnsi="Times New Roman" w:cs="Times New Roman"/>
        </w:rPr>
        <w:t xml:space="preserve"> parameters, serum biochemistry, and carcass yield of broiler chickens. A total of 240 day-old Ross 308 broiler chicks were randomly allocated to six treatment groups (with four replicates of 10 birds each) in a 2 × 3 factorial experimental layout, comprising two concentrations of the extract (300 and 500 g/L) and three administration frequencies (0, 3, and 4 times/week). Birds were given standard commercial diets and administered the extract via drinking water from day 7 to the end of the six-week trial. </w:t>
      </w:r>
      <w:r w:rsidRPr="00244033">
        <w:rPr>
          <w:rFonts w:ascii="Times New Roman" w:hAnsi="Times New Roman" w:cs="Times New Roman"/>
        </w:rPr>
        <w:t xml:space="preserve">Growth performance was evaluated through weight gain, feed and water intake, and FCR. </w:t>
      </w:r>
      <w:proofErr w:type="spellStart"/>
      <w:r w:rsidRPr="00244033">
        <w:rPr>
          <w:rFonts w:ascii="Times New Roman" w:hAnsi="Times New Roman" w:cs="Times New Roman"/>
        </w:rPr>
        <w:t>Behaviour</w:t>
      </w:r>
      <w:proofErr w:type="spellEnd"/>
      <w:r w:rsidRPr="00244033">
        <w:rPr>
          <w:rFonts w:ascii="Times New Roman" w:hAnsi="Times New Roman" w:cs="Times New Roman"/>
        </w:rPr>
        <w:t xml:space="preserve"> was monitored using CCTV, while </w:t>
      </w:r>
      <w:proofErr w:type="spellStart"/>
      <w:r w:rsidRPr="00244033">
        <w:rPr>
          <w:rFonts w:ascii="Times New Roman" w:hAnsi="Times New Roman" w:cs="Times New Roman"/>
        </w:rPr>
        <w:t>haematological</w:t>
      </w:r>
      <w:proofErr w:type="spellEnd"/>
      <w:r w:rsidRPr="00244033">
        <w:rPr>
          <w:rFonts w:ascii="Times New Roman" w:hAnsi="Times New Roman" w:cs="Times New Roman"/>
        </w:rPr>
        <w:t xml:space="preserve">, serum biochemical, and carcass traits were assessed using standard laboratory and post-slaughter procedures. </w:t>
      </w:r>
      <w:r w:rsidRPr="00244033">
        <w:rPr>
          <w:rFonts w:ascii="Times New Roman" w:eastAsia="Times New Roman" w:hAnsi="Times New Roman" w:cs="Times New Roman"/>
        </w:rPr>
        <w:t xml:space="preserve">Results showed that while the extract concentration had no significant effect on body weight gain and FCR, birds on 300 g/L concentration exhibited higher feed and water intake compared to those on 500 g/L. Frequency of administration significantly </w:t>
      </w:r>
      <w:r w:rsidRPr="00244033">
        <w:rPr>
          <w:rFonts w:ascii="Times New Roman" w:hAnsi="Times New Roman" w:cs="Times New Roman"/>
        </w:rPr>
        <w:t>(p &lt; 0.05)</w:t>
      </w:r>
      <w:r w:rsidRPr="00244033">
        <w:rPr>
          <w:rFonts w:ascii="Times New Roman" w:eastAsia="Times New Roman" w:hAnsi="Times New Roman" w:cs="Times New Roman"/>
        </w:rPr>
        <w:t xml:space="preserve">  influenced growth, with the control group (0 time/week) demonstrating the highest final weight and weight gain. </w:t>
      </w:r>
      <w:proofErr w:type="spellStart"/>
      <w:r w:rsidRPr="00244033">
        <w:rPr>
          <w:rFonts w:ascii="Times New Roman" w:hAnsi="Times New Roman" w:cs="Times New Roman"/>
        </w:rPr>
        <w:t>Behavioural</w:t>
      </w:r>
      <w:proofErr w:type="spellEnd"/>
      <w:r w:rsidRPr="00244033">
        <w:rPr>
          <w:rFonts w:ascii="Times New Roman" w:hAnsi="Times New Roman" w:cs="Times New Roman"/>
        </w:rPr>
        <w:t xml:space="preserve"> observations at the starter phase showed no notable variations across treatments. However, at the finisher phase, birds on 300 g/L concentration displayed increased activity in feeding, drinking, walking, dust bathing, and wing flapping compared to those on 500 g/L. Frequency of administration also affected </w:t>
      </w:r>
      <w:proofErr w:type="spellStart"/>
      <w:r w:rsidRPr="00244033">
        <w:rPr>
          <w:rFonts w:ascii="Times New Roman" w:hAnsi="Times New Roman" w:cs="Times New Roman"/>
        </w:rPr>
        <w:t>behavioural</w:t>
      </w:r>
      <w:proofErr w:type="spellEnd"/>
      <w:r w:rsidRPr="00244033">
        <w:rPr>
          <w:rFonts w:ascii="Times New Roman" w:hAnsi="Times New Roman" w:cs="Times New Roman"/>
        </w:rPr>
        <w:t xml:space="preserve"> expressions, with birds in the control and 3 times/week groups generally more active than those administered the extract 4 times/week.</w:t>
      </w:r>
      <w:r w:rsidRPr="00244033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244033">
        <w:rPr>
          <w:rFonts w:ascii="Times New Roman" w:eastAsia="Times New Roman" w:hAnsi="Times New Roman" w:cs="Times New Roman"/>
        </w:rPr>
        <w:t>Haematological</w:t>
      </w:r>
      <w:proofErr w:type="spellEnd"/>
      <w:r w:rsidRPr="00244033">
        <w:rPr>
          <w:rFonts w:ascii="Times New Roman" w:eastAsia="Times New Roman" w:hAnsi="Times New Roman" w:cs="Times New Roman"/>
        </w:rPr>
        <w:t xml:space="preserve"> parameters were largely unaffected by both extract </w:t>
      </w:r>
      <w:r w:rsidRPr="00244033">
        <w:rPr>
          <w:rFonts w:ascii="Times New Roman" w:eastAsia="Times New Roman" w:hAnsi="Times New Roman" w:cs="Times New Roman"/>
        </w:rPr>
        <w:lastRenderedPageBreak/>
        <w:t xml:space="preserve">concentration and administration frequency, suggesting no adverse health impacts. Serum biochemical analysis indicated significant </w:t>
      </w:r>
      <w:r w:rsidRPr="00244033">
        <w:rPr>
          <w:rFonts w:ascii="Times New Roman" w:hAnsi="Times New Roman" w:cs="Times New Roman"/>
        </w:rPr>
        <w:t>(p &lt; 0.05)</w:t>
      </w:r>
      <w:r w:rsidRPr="00244033">
        <w:rPr>
          <w:rFonts w:ascii="Times New Roman" w:eastAsia="Times New Roman" w:hAnsi="Times New Roman" w:cs="Times New Roman"/>
        </w:rPr>
        <w:t xml:space="preserve"> </w:t>
      </w:r>
      <w:proofErr w:type="gramStart"/>
      <w:r w:rsidRPr="00244033">
        <w:rPr>
          <w:rFonts w:ascii="Times New Roman" w:eastAsia="Times New Roman" w:hAnsi="Times New Roman" w:cs="Times New Roman"/>
        </w:rPr>
        <w:t>effects</w:t>
      </w:r>
      <w:proofErr w:type="gramEnd"/>
      <w:r w:rsidRPr="00244033">
        <w:rPr>
          <w:rFonts w:ascii="Times New Roman" w:eastAsia="Times New Roman" w:hAnsi="Times New Roman" w:cs="Times New Roman"/>
        </w:rPr>
        <w:t xml:space="preserve"> of both concentration and frequency on total protein, albumin, AST, HDL, and </w:t>
      </w:r>
      <w:proofErr w:type="spellStart"/>
      <w:r w:rsidRPr="00244033">
        <w:rPr>
          <w:rFonts w:ascii="Times New Roman" w:eastAsia="Times New Roman" w:hAnsi="Times New Roman" w:cs="Times New Roman"/>
        </w:rPr>
        <w:t>malondialdehyde</w:t>
      </w:r>
      <w:proofErr w:type="spellEnd"/>
      <w:r w:rsidRPr="00244033">
        <w:rPr>
          <w:rFonts w:ascii="Times New Roman" w:eastAsia="Times New Roman" w:hAnsi="Times New Roman" w:cs="Times New Roman"/>
        </w:rPr>
        <w:t xml:space="preserve"> (MDA) levels. Notably, birds administered 500 g/L of the extract exhibited higher serum protein and albumin levels, and reduced MDA concentrations, indicating enhanced antioxidant status. </w:t>
      </w:r>
      <w:r w:rsidRPr="00244033">
        <w:rPr>
          <w:rFonts w:ascii="Times New Roman" w:hAnsi="Times New Roman" w:cs="Times New Roman"/>
        </w:rPr>
        <w:t xml:space="preserve">Carcass evaluation showed no marked differences across treatments, with both concentration and frequency of administration having no observable effect on carcass </w:t>
      </w:r>
      <w:proofErr w:type="spellStart"/>
      <w:r w:rsidRPr="00244033">
        <w:rPr>
          <w:rFonts w:ascii="Times New Roman" w:hAnsi="Times New Roman" w:cs="Times New Roman"/>
        </w:rPr>
        <w:t>traits.In</w:t>
      </w:r>
      <w:proofErr w:type="spellEnd"/>
      <w:r w:rsidRPr="00244033">
        <w:rPr>
          <w:rFonts w:ascii="Times New Roman" w:hAnsi="Times New Roman" w:cs="Times New Roman"/>
        </w:rPr>
        <w:t xml:space="preserve"> </w:t>
      </w:r>
      <w:proofErr w:type="gramStart"/>
      <w:r w:rsidRPr="00244033">
        <w:rPr>
          <w:rFonts w:ascii="Times New Roman" w:hAnsi="Times New Roman" w:cs="Times New Roman"/>
        </w:rPr>
        <w:t>conclusion,</w:t>
      </w:r>
      <w:proofErr w:type="gramEnd"/>
      <w:r w:rsidRPr="00244033">
        <w:rPr>
          <w:rFonts w:ascii="Times New Roman" w:hAnsi="Times New Roman" w:cs="Times New Roman"/>
        </w:rPr>
        <w:t xml:space="preserve"> </w:t>
      </w:r>
      <w:proofErr w:type="spellStart"/>
      <w:r w:rsidRPr="00244033">
        <w:rPr>
          <w:rStyle w:val="Emphasis"/>
          <w:rFonts w:ascii="Times New Roman" w:hAnsi="Times New Roman" w:cs="Times New Roman"/>
        </w:rPr>
        <w:t>Lagenaria</w:t>
      </w:r>
      <w:proofErr w:type="spellEnd"/>
      <w:r w:rsidRPr="00244033">
        <w:rPr>
          <w:rStyle w:val="Emphasis"/>
          <w:rFonts w:ascii="Times New Roman" w:hAnsi="Times New Roman" w:cs="Times New Roman"/>
        </w:rPr>
        <w:t xml:space="preserve"> </w:t>
      </w:r>
      <w:proofErr w:type="spellStart"/>
      <w:r w:rsidRPr="00244033">
        <w:rPr>
          <w:rStyle w:val="Emphasis"/>
          <w:rFonts w:ascii="Times New Roman" w:hAnsi="Times New Roman" w:cs="Times New Roman"/>
        </w:rPr>
        <w:t>breviflora</w:t>
      </w:r>
      <w:proofErr w:type="spellEnd"/>
      <w:r w:rsidRPr="00244033">
        <w:rPr>
          <w:rFonts w:ascii="Times New Roman" w:hAnsi="Times New Roman" w:cs="Times New Roman"/>
        </w:rPr>
        <w:t xml:space="preserve"> fruit aqueous extract may improve certain </w:t>
      </w:r>
      <w:proofErr w:type="spellStart"/>
      <w:r w:rsidRPr="00244033">
        <w:rPr>
          <w:rFonts w:ascii="Times New Roman" w:hAnsi="Times New Roman" w:cs="Times New Roman"/>
        </w:rPr>
        <w:t>behavioural</w:t>
      </w:r>
      <w:proofErr w:type="spellEnd"/>
      <w:r w:rsidRPr="00244033">
        <w:rPr>
          <w:rFonts w:ascii="Times New Roman" w:hAnsi="Times New Roman" w:cs="Times New Roman"/>
        </w:rPr>
        <w:t xml:space="preserve"> and physiological traits in broilers without adverse effects on health or carcass yield. A concentration of 300 g/L administered 3 times per week is recommended for promoting activity and performance, while 500 g/L at 4 times per week may be explored for improving serum lipid profile.</w:t>
      </w:r>
    </w:p>
    <w:p w:rsidR="005F20C0" w:rsidRDefault="005F20C0"/>
    <w:sectPr w:rsidR="005F20C0" w:rsidSect="005F20C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20"/>
  <w:characterSpacingControl w:val="doNotCompress"/>
  <w:compat/>
  <w:rsids>
    <w:rsidRoot w:val="00176505"/>
    <w:rsid w:val="00176505"/>
    <w:rsid w:val="005F20C0"/>
    <w:rsid w:val="008610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76505"/>
    <w:pPr>
      <w:spacing w:after="160" w:line="278" w:lineRule="auto"/>
    </w:pPr>
    <w:rPr>
      <w:kern w:val="2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17650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76505"/>
    <w:rPr>
      <w:rFonts w:asciiTheme="majorHAnsi" w:eastAsiaTheme="majorEastAsia" w:hAnsiTheme="majorHAnsi" w:cstheme="majorBidi"/>
      <w:color w:val="365F91" w:themeColor="accent1" w:themeShade="BF"/>
      <w:kern w:val="2"/>
      <w:sz w:val="40"/>
      <w:szCs w:val="40"/>
    </w:rPr>
  </w:style>
  <w:style w:type="character" w:styleId="Emphasis">
    <w:name w:val="Emphasis"/>
    <w:basedOn w:val="DefaultParagraphFont"/>
    <w:uiPriority w:val="20"/>
    <w:qFormat/>
    <w:rsid w:val="00176505"/>
    <w:rPr>
      <w:i/>
      <w:iCs/>
    </w:rPr>
  </w:style>
  <w:style w:type="character" w:styleId="Strong">
    <w:name w:val="Strong"/>
    <w:basedOn w:val="DefaultParagraphFont"/>
    <w:uiPriority w:val="22"/>
    <w:qFormat/>
    <w:rsid w:val="00176505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531</Words>
  <Characters>3028</Characters>
  <Application>Microsoft Office Word</Application>
  <DocSecurity>0</DocSecurity>
  <Lines>25</Lines>
  <Paragraphs>7</Paragraphs>
  <ScaleCrop>false</ScaleCrop>
  <Company/>
  <LinksUpToDate>false</LinksUpToDate>
  <CharactersWithSpaces>3552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2</cp:revision>
  <dcterms:created xsi:type="dcterms:W3CDTF">2025-12-16T13:14:00Z</dcterms:created>
  <dcterms:modified xsi:type="dcterms:W3CDTF">2025-12-16T13:15:00Z</dcterms:modified>
</cp:coreProperties>
</file>