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6B1" w:rsidRPr="002E7D02" w:rsidRDefault="003166B1" w:rsidP="003166B1">
      <w:pPr>
        <w:pStyle w:val="NormalWeb"/>
        <w:spacing w:before="0" w:beforeAutospacing="0" w:after="0" w:afterAutospacing="0" w:line="480" w:lineRule="auto"/>
        <w:jc w:val="center"/>
      </w:pPr>
      <w:proofErr w:type="gramStart"/>
      <w:r w:rsidRPr="002E7D02">
        <w:rPr>
          <w:b/>
          <w:bCs/>
          <w:color w:val="000000"/>
          <w:kern w:val="24"/>
        </w:rPr>
        <w:t xml:space="preserve">GENOTYPIC PERFORMANCE OF MULTIPLE STRESS TOLERANT QUALITY PROTEIN MAIZE </w:t>
      </w:r>
      <w:r w:rsidRPr="002E7D02">
        <w:rPr>
          <w:b/>
          <w:bCs/>
          <w:color w:val="000000"/>
          <w:kern w:val="24"/>
          <w:lang w:val="en-GB"/>
        </w:rPr>
        <w:t>(</w:t>
      </w:r>
      <w:proofErr w:type="spellStart"/>
      <w:r w:rsidRPr="002E7D02">
        <w:rPr>
          <w:b/>
          <w:bCs/>
          <w:i/>
          <w:color w:val="000000"/>
          <w:kern w:val="24"/>
          <w:lang w:val="en-GB"/>
        </w:rPr>
        <w:t>Zea</w:t>
      </w:r>
      <w:proofErr w:type="spellEnd"/>
      <w:r w:rsidRPr="002E7D02">
        <w:rPr>
          <w:b/>
          <w:bCs/>
          <w:i/>
          <w:color w:val="000000"/>
          <w:kern w:val="24"/>
          <w:lang w:val="en-GB"/>
        </w:rPr>
        <w:t xml:space="preserve"> </w:t>
      </w:r>
      <w:proofErr w:type="spellStart"/>
      <w:r w:rsidRPr="002E7D02">
        <w:rPr>
          <w:b/>
          <w:bCs/>
          <w:i/>
          <w:color w:val="000000"/>
          <w:kern w:val="24"/>
          <w:lang w:val="en-GB"/>
        </w:rPr>
        <w:t>mays</w:t>
      </w:r>
      <w:proofErr w:type="spellEnd"/>
      <w:r w:rsidRPr="002E7D02">
        <w:rPr>
          <w:b/>
          <w:bCs/>
          <w:i/>
          <w:color w:val="000000"/>
          <w:kern w:val="24"/>
          <w:lang w:val="en-GB"/>
        </w:rPr>
        <w:t xml:space="preserve"> </w:t>
      </w:r>
      <w:r w:rsidRPr="002E7D02">
        <w:rPr>
          <w:b/>
          <w:bCs/>
          <w:color w:val="000000"/>
          <w:kern w:val="24"/>
          <w:lang w:val="en-GB"/>
        </w:rPr>
        <w:t>L.)</w:t>
      </w:r>
      <w:proofErr w:type="gramEnd"/>
      <w:r w:rsidRPr="002E7D02">
        <w:rPr>
          <w:b/>
          <w:bCs/>
          <w:color w:val="000000"/>
          <w:kern w:val="24"/>
        </w:rPr>
        <w:t xml:space="preserve"> </w:t>
      </w:r>
      <w:proofErr w:type="gramStart"/>
      <w:r w:rsidRPr="002E7D02">
        <w:rPr>
          <w:b/>
          <w:bCs/>
          <w:color w:val="000000"/>
          <w:kern w:val="24"/>
        </w:rPr>
        <w:t>HYBRIDS FOR ADAPTATION TO DERIVED SAVANNA AGRO-ENVIRONMENTS OF OGUN STATE.</w:t>
      </w:r>
      <w:proofErr w:type="gramEnd"/>
    </w:p>
    <w:p w:rsidR="003166B1" w:rsidRPr="002E7D02" w:rsidRDefault="003166B1" w:rsidP="003166B1">
      <w:pPr>
        <w:spacing w:after="0" w:line="480" w:lineRule="auto"/>
        <w:ind w:left="0"/>
        <w:rPr>
          <w:rFonts w:ascii="Times New Roman" w:hAnsi="Times New Roman" w:cs="Times New Roman"/>
          <w:b/>
          <w:sz w:val="24"/>
          <w:szCs w:val="24"/>
        </w:rPr>
      </w:pPr>
    </w:p>
    <w:p w:rsidR="003166B1" w:rsidRPr="002E7D02" w:rsidRDefault="003166B1" w:rsidP="003166B1">
      <w:pPr>
        <w:spacing w:after="0" w:line="480" w:lineRule="auto"/>
        <w:jc w:val="center"/>
        <w:rPr>
          <w:rFonts w:ascii="Times New Roman" w:hAnsi="Times New Roman" w:cs="Times New Roman"/>
          <w:b/>
          <w:sz w:val="24"/>
          <w:szCs w:val="24"/>
        </w:rPr>
      </w:pPr>
      <w:r w:rsidRPr="002E7D02">
        <w:rPr>
          <w:rFonts w:ascii="Times New Roman" w:hAnsi="Times New Roman" w:cs="Times New Roman"/>
          <w:b/>
          <w:sz w:val="24"/>
          <w:szCs w:val="24"/>
        </w:rPr>
        <w:t xml:space="preserve">BY </w:t>
      </w:r>
    </w:p>
    <w:p w:rsidR="003166B1" w:rsidRPr="002E7D02" w:rsidRDefault="003166B1" w:rsidP="003166B1">
      <w:pPr>
        <w:spacing w:after="0" w:line="480" w:lineRule="auto"/>
        <w:jc w:val="center"/>
        <w:rPr>
          <w:rFonts w:ascii="Times New Roman" w:hAnsi="Times New Roman" w:cs="Times New Roman"/>
          <w:b/>
          <w:sz w:val="24"/>
          <w:szCs w:val="24"/>
        </w:rPr>
      </w:pPr>
    </w:p>
    <w:p w:rsidR="003166B1" w:rsidRPr="002E7D02" w:rsidRDefault="003166B1" w:rsidP="003166B1">
      <w:pPr>
        <w:spacing w:before="0" w:after="0" w:line="480" w:lineRule="auto"/>
        <w:jc w:val="center"/>
        <w:rPr>
          <w:rFonts w:ascii="Times New Roman" w:hAnsi="Times New Roman" w:cs="Times New Roman"/>
          <w:b/>
          <w:sz w:val="24"/>
          <w:szCs w:val="24"/>
        </w:rPr>
      </w:pPr>
      <w:r w:rsidRPr="002E7D02">
        <w:rPr>
          <w:rFonts w:ascii="Times New Roman" w:hAnsi="Times New Roman" w:cs="Times New Roman"/>
          <w:b/>
          <w:sz w:val="24"/>
          <w:szCs w:val="24"/>
        </w:rPr>
        <w:t>ABIKOYE, MERCY MAYOWA (PG 21/0117)</w:t>
      </w:r>
    </w:p>
    <w:p w:rsidR="003166B1" w:rsidRPr="002E7D02" w:rsidRDefault="003166B1" w:rsidP="003166B1">
      <w:pPr>
        <w:spacing w:before="0" w:after="0" w:line="480" w:lineRule="auto"/>
        <w:jc w:val="center"/>
        <w:rPr>
          <w:rFonts w:ascii="Times New Roman" w:hAnsi="Times New Roman" w:cs="Times New Roman"/>
          <w:b/>
          <w:sz w:val="24"/>
          <w:szCs w:val="24"/>
        </w:rPr>
      </w:pPr>
      <w:r w:rsidRPr="002E7D02">
        <w:rPr>
          <w:rFonts w:ascii="Times New Roman" w:hAnsi="Times New Roman" w:cs="Times New Roman"/>
          <w:b/>
          <w:sz w:val="24"/>
          <w:szCs w:val="24"/>
        </w:rPr>
        <w:t>B. AGRIC. FUNAAB, ABEOKUTA</w:t>
      </w:r>
    </w:p>
    <w:p w:rsidR="003166B1" w:rsidRPr="002E7D02" w:rsidRDefault="003166B1" w:rsidP="003166B1">
      <w:pPr>
        <w:spacing w:before="0" w:after="0" w:line="480" w:lineRule="auto"/>
        <w:jc w:val="center"/>
        <w:rPr>
          <w:rFonts w:ascii="Times New Roman" w:hAnsi="Times New Roman" w:cs="Times New Roman"/>
          <w:b/>
          <w:sz w:val="24"/>
          <w:szCs w:val="24"/>
        </w:rPr>
      </w:pPr>
    </w:p>
    <w:p w:rsidR="003166B1" w:rsidRPr="002E7D02" w:rsidRDefault="003166B1" w:rsidP="003166B1">
      <w:pPr>
        <w:spacing w:after="0" w:line="480" w:lineRule="auto"/>
        <w:jc w:val="center"/>
        <w:rPr>
          <w:rFonts w:ascii="Times New Roman" w:hAnsi="Times New Roman" w:cs="Times New Roman"/>
          <w:b/>
          <w:sz w:val="24"/>
          <w:szCs w:val="24"/>
        </w:rPr>
      </w:pPr>
      <w:r w:rsidRPr="002E7D02">
        <w:rPr>
          <w:rFonts w:ascii="Times New Roman" w:hAnsi="Times New Roman" w:cs="Times New Roman"/>
          <w:b/>
          <w:sz w:val="24"/>
          <w:szCs w:val="24"/>
        </w:rPr>
        <w:t>A Dissertation submitted to the Department of Plant Breeding and Seed Technology, College of Plant Science and Crop Production, Federal University of Agriculture, Abeokuta, in partial fulfilment of the requirements for the award of degree of Masters of Agriculture in Plant Breeding</w:t>
      </w:r>
    </w:p>
    <w:p w:rsidR="003166B1" w:rsidRPr="002E7D02" w:rsidRDefault="003166B1" w:rsidP="003166B1">
      <w:pPr>
        <w:spacing w:after="0" w:line="480" w:lineRule="auto"/>
        <w:ind w:left="0"/>
        <w:rPr>
          <w:rFonts w:ascii="Times New Roman" w:hAnsi="Times New Roman" w:cs="Times New Roman"/>
          <w:b/>
          <w:sz w:val="24"/>
          <w:szCs w:val="24"/>
        </w:rPr>
      </w:pPr>
    </w:p>
    <w:p w:rsidR="003166B1" w:rsidRPr="002E7D02" w:rsidRDefault="003166B1" w:rsidP="003166B1">
      <w:pPr>
        <w:spacing w:after="0" w:line="480" w:lineRule="auto"/>
        <w:jc w:val="center"/>
        <w:rPr>
          <w:rFonts w:ascii="Times New Roman" w:hAnsi="Times New Roman" w:cs="Times New Roman"/>
          <w:b/>
          <w:sz w:val="24"/>
          <w:szCs w:val="24"/>
        </w:rPr>
      </w:pPr>
      <w:r w:rsidRPr="002E7D02">
        <w:rPr>
          <w:rFonts w:ascii="Times New Roman" w:hAnsi="Times New Roman" w:cs="Times New Roman"/>
          <w:b/>
          <w:sz w:val="24"/>
          <w:szCs w:val="24"/>
        </w:rPr>
        <w:t>JUNE, 2025</w:t>
      </w:r>
    </w:p>
    <w:p w:rsidR="003166B1" w:rsidRDefault="003166B1" w:rsidP="003166B1">
      <w:pPr>
        <w:spacing w:before="0" w:after="160" w:line="259" w:lineRule="auto"/>
        <w:ind w:left="0"/>
        <w:jc w:val="left"/>
        <w:rPr>
          <w:rFonts w:ascii="Times New Roman" w:hAnsi="Times New Roman" w:cs="Times New Roman"/>
          <w:b/>
          <w:sz w:val="24"/>
          <w:szCs w:val="24"/>
        </w:rPr>
      </w:pPr>
      <w:r>
        <w:rPr>
          <w:rFonts w:ascii="Times New Roman" w:hAnsi="Times New Roman" w:cs="Times New Roman"/>
          <w:b/>
          <w:sz w:val="24"/>
          <w:szCs w:val="24"/>
        </w:rPr>
        <w:br w:type="page"/>
      </w:r>
    </w:p>
    <w:p w:rsidR="003166B1" w:rsidRPr="002E7D02" w:rsidRDefault="003166B1" w:rsidP="003166B1">
      <w:pPr>
        <w:spacing w:before="0" w:after="0" w:line="480" w:lineRule="auto"/>
        <w:jc w:val="center"/>
        <w:rPr>
          <w:rFonts w:ascii="Times New Roman" w:hAnsi="Times New Roman" w:cs="Times New Roman"/>
          <w:b/>
          <w:sz w:val="24"/>
          <w:szCs w:val="24"/>
        </w:rPr>
      </w:pPr>
      <w:r w:rsidRPr="002E7D02">
        <w:rPr>
          <w:rFonts w:ascii="Times New Roman" w:hAnsi="Times New Roman" w:cs="Times New Roman"/>
          <w:b/>
          <w:sz w:val="24"/>
          <w:szCs w:val="24"/>
        </w:rPr>
        <w:lastRenderedPageBreak/>
        <w:t xml:space="preserve">ABSTRACT </w:t>
      </w:r>
    </w:p>
    <w:p w:rsidR="003166B1" w:rsidRPr="002E7D02" w:rsidRDefault="003166B1" w:rsidP="003166B1">
      <w:pPr>
        <w:spacing w:before="0" w:after="0" w:line="480" w:lineRule="auto"/>
        <w:rPr>
          <w:rFonts w:ascii="Times New Roman" w:hAnsi="Times New Roman" w:cs="Times New Roman"/>
          <w:b/>
          <w:sz w:val="24"/>
          <w:szCs w:val="24"/>
        </w:rPr>
      </w:pPr>
      <w:r w:rsidRPr="002E7D02">
        <w:rPr>
          <w:rFonts w:ascii="Times New Roman" w:hAnsi="Times New Roman" w:cs="Times New Roman"/>
          <w:sz w:val="24"/>
          <w:szCs w:val="24"/>
        </w:rPr>
        <w:t>Maize (</w:t>
      </w:r>
      <w:proofErr w:type="spellStart"/>
      <w:r w:rsidRPr="002E7D02">
        <w:rPr>
          <w:rFonts w:ascii="Times New Roman" w:hAnsi="Times New Roman" w:cs="Times New Roman"/>
          <w:i/>
          <w:sz w:val="24"/>
          <w:szCs w:val="24"/>
        </w:rPr>
        <w:t>Zea</w:t>
      </w:r>
      <w:proofErr w:type="spellEnd"/>
      <w:r w:rsidRPr="002E7D02">
        <w:rPr>
          <w:rFonts w:ascii="Times New Roman" w:hAnsi="Times New Roman" w:cs="Times New Roman"/>
          <w:i/>
          <w:sz w:val="24"/>
          <w:szCs w:val="24"/>
        </w:rPr>
        <w:t xml:space="preserve"> </w:t>
      </w:r>
      <w:proofErr w:type="spellStart"/>
      <w:r w:rsidRPr="002E7D02">
        <w:rPr>
          <w:rFonts w:ascii="Times New Roman" w:hAnsi="Times New Roman" w:cs="Times New Roman"/>
          <w:i/>
          <w:sz w:val="24"/>
          <w:szCs w:val="24"/>
        </w:rPr>
        <w:t>mays</w:t>
      </w:r>
      <w:proofErr w:type="spellEnd"/>
      <w:r w:rsidRPr="002E7D02">
        <w:rPr>
          <w:rFonts w:ascii="Times New Roman" w:hAnsi="Times New Roman" w:cs="Times New Roman"/>
          <w:sz w:val="24"/>
          <w:szCs w:val="24"/>
        </w:rPr>
        <w:t xml:space="preserve"> L.) is a major food crop in sub-Saharan Africa, providing a significant portion of dietary calories and nutrients. However, conventional maize lacks essential amino acids like lysine and tryptophan, contributing to malnutrition, particularly in derived </w:t>
      </w:r>
      <w:proofErr w:type="spellStart"/>
      <w:r w:rsidRPr="002E7D02">
        <w:rPr>
          <w:rFonts w:ascii="Times New Roman" w:hAnsi="Times New Roman" w:cs="Times New Roman"/>
          <w:sz w:val="24"/>
          <w:szCs w:val="24"/>
        </w:rPr>
        <w:t>savanna</w:t>
      </w:r>
      <w:proofErr w:type="spellEnd"/>
      <w:r w:rsidRPr="002E7D02">
        <w:rPr>
          <w:rFonts w:ascii="Times New Roman" w:hAnsi="Times New Roman" w:cs="Times New Roman"/>
          <w:sz w:val="24"/>
          <w:szCs w:val="24"/>
        </w:rPr>
        <w:t xml:space="preserve">. Quality Protein Maize (QPM) addresses this issue by containing nearly twice the amount of these essential amino acids compared to regular maize. This study evaluated the genotypic performance of multiple stress tolerant quality protein maize hybrids for </w:t>
      </w:r>
      <w:proofErr w:type="spellStart"/>
      <w:r w:rsidRPr="002E7D02">
        <w:rPr>
          <w:rFonts w:ascii="Times New Roman" w:hAnsi="Times New Roman" w:cs="Times New Roman"/>
          <w:sz w:val="24"/>
          <w:szCs w:val="24"/>
        </w:rPr>
        <w:t>adaptaion</w:t>
      </w:r>
      <w:proofErr w:type="spellEnd"/>
      <w:r w:rsidRPr="002E7D02">
        <w:rPr>
          <w:rFonts w:ascii="Times New Roman" w:hAnsi="Times New Roman" w:cs="Times New Roman"/>
          <w:sz w:val="24"/>
          <w:szCs w:val="24"/>
        </w:rPr>
        <w:t xml:space="preserve"> to derived </w:t>
      </w:r>
      <w:proofErr w:type="spellStart"/>
      <w:r w:rsidRPr="002E7D02">
        <w:rPr>
          <w:rFonts w:ascii="Times New Roman" w:hAnsi="Times New Roman" w:cs="Times New Roman"/>
          <w:sz w:val="24"/>
          <w:szCs w:val="24"/>
        </w:rPr>
        <w:t>savanna</w:t>
      </w:r>
      <w:proofErr w:type="spellEnd"/>
      <w:r w:rsidRPr="002E7D02">
        <w:rPr>
          <w:rFonts w:ascii="Times New Roman" w:hAnsi="Times New Roman" w:cs="Times New Roman"/>
          <w:sz w:val="24"/>
          <w:szCs w:val="24"/>
        </w:rPr>
        <w:t xml:space="preserve"> agro-environments of </w:t>
      </w:r>
      <w:proofErr w:type="spellStart"/>
      <w:r w:rsidRPr="002E7D02">
        <w:rPr>
          <w:rFonts w:ascii="Times New Roman" w:hAnsi="Times New Roman" w:cs="Times New Roman"/>
          <w:sz w:val="24"/>
          <w:szCs w:val="24"/>
        </w:rPr>
        <w:t>Ogun</w:t>
      </w:r>
      <w:proofErr w:type="spellEnd"/>
      <w:r w:rsidRPr="002E7D02">
        <w:rPr>
          <w:rFonts w:ascii="Times New Roman" w:hAnsi="Times New Roman" w:cs="Times New Roman"/>
          <w:sz w:val="24"/>
          <w:szCs w:val="24"/>
        </w:rPr>
        <w:t xml:space="preserve"> state, with the aim of identifying high-yielding, stable genotypes. The research was carried out at Teaching and Research Farm, Federal University of Agriculture, Abeokuta (7°13′N 3°26′E) </w:t>
      </w:r>
      <w:r w:rsidRPr="002E7D02">
        <w:rPr>
          <w:rFonts w:ascii="Times New Roman" w:hAnsi="Times New Roman" w:cs="Times New Roman"/>
          <w:color w:val="000000"/>
          <w:sz w:val="24"/>
          <w:szCs w:val="24"/>
        </w:rPr>
        <w:t xml:space="preserve">in August 2023 to November 2023 (early season) and June 2023 to September 2024 (late season). Also at the Teaching and Research Farm of </w:t>
      </w:r>
      <w:proofErr w:type="spellStart"/>
      <w:r w:rsidRPr="002E7D02">
        <w:rPr>
          <w:rFonts w:ascii="Times New Roman" w:hAnsi="Times New Roman" w:cs="Times New Roman"/>
          <w:color w:val="000000"/>
          <w:sz w:val="24"/>
          <w:szCs w:val="24"/>
        </w:rPr>
        <w:t>Olabisi</w:t>
      </w:r>
      <w:proofErr w:type="spellEnd"/>
      <w:r w:rsidRPr="002E7D02">
        <w:rPr>
          <w:rFonts w:ascii="Times New Roman" w:hAnsi="Times New Roman" w:cs="Times New Roman"/>
          <w:color w:val="000000"/>
          <w:sz w:val="24"/>
          <w:szCs w:val="24"/>
        </w:rPr>
        <w:t xml:space="preserve"> </w:t>
      </w:r>
      <w:proofErr w:type="spellStart"/>
      <w:r w:rsidRPr="002E7D02">
        <w:rPr>
          <w:rFonts w:ascii="Times New Roman" w:hAnsi="Times New Roman" w:cs="Times New Roman"/>
          <w:color w:val="000000"/>
          <w:sz w:val="24"/>
          <w:szCs w:val="24"/>
        </w:rPr>
        <w:t>Onabanjo</w:t>
      </w:r>
      <w:proofErr w:type="spellEnd"/>
      <w:r w:rsidRPr="002E7D02">
        <w:rPr>
          <w:rFonts w:ascii="Times New Roman" w:hAnsi="Times New Roman" w:cs="Times New Roman"/>
          <w:color w:val="000000"/>
          <w:sz w:val="24"/>
          <w:szCs w:val="24"/>
        </w:rPr>
        <w:t xml:space="preserve"> University, </w:t>
      </w:r>
      <w:proofErr w:type="spellStart"/>
      <w:r w:rsidRPr="002E7D02">
        <w:rPr>
          <w:rFonts w:ascii="Times New Roman" w:hAnsi="Times New Roman" w:cs="Times New Roman"/>
          <w:color w:val="000000"/>
          <w:sz w:val="24"/>
          <w:szCs w:val="24"/>
        </w:rPr>
        <w:t>Ayetoro</w:t>
      </w:r>
      <w:proofErr w:type="spellEnd"/>
      <w:r w:rsidRPr="002E7D02">
        <w:rPr>
          <w:rFonts w:ascii="Times New Roman" w:hAnsi="Times New Roman" w:cs="Times New Roman"/>
          <w:color w:val="000000"/>
          <w:sz w:val="24"/>
          <w:szCs w:val="24"/>
        </w:rPr>
        <w:t xml:space="preserve"> Campus (7°15'N 3°3'E)</w:t>
      </w:r>
      <w:r w:rsidRPr="002E7D02">
        <w:rPr>
          <w:rFonts w:ascii="Times New Roman" w:hAnsi="Times New Roman" w:cs="Times New Roman"/>
          <w:sz w:val="24"/>
          <w:szCs w:val="24"/>
        </w:rPr>
        <w:t xml:space="preserve"> in August 2023 to November 2023 (early season). Thirty-three extra-early QPM hybrids, along with two local checks, were evaluated on the field using Randomized Complete Block Design (RCBD) with three replications. Data were collected on nine agronomic traits, visual disease syndrome rating to ear rot, leaf blight, maize streak, and </w:t>
      </w:r>
      <w:proofErr w:type="spellStart"/>
      <w:r w:rsidRPr="002E7D02">
        <w:rPr>
          <w:rFonts w:ascii="Times New Roman" w:hAnsi="Times New Roman" w:cs="Times New Roman"/>
          <w:sz w:val="24"/>
          <w:szCs w:val="24"/>
        </w:rPr>
        <w:t>cercospora</w:t>
      </w:r>
      <w:proofErr w:type="spellEnd"/>
      <w:r w:rsidRPr="002E7D02">
        <w:rPr>
          <w:rFonts w:ascii="Times New Roman" w:hAnsi="Times New Roman" w:cs="Times New Roman"/>
          <w:sz w:val="24"/>
          <w:szCs w:val="24"/>
        </w:rPr>
        <w:t xml:space="preserve"> leaf spot were observed on a scale of 1-5. Data collected were subjected to analysis of variance, heritability estimates and GGE </w:t>
      </w:r>
      <w:proofErr w:type="spellStart"/>
      <w:r w:rsidRPr="002E7D02">
        <w:rPr>
          <w:rFonts w:ascii="Times New Roman" w:hAnsi="Times New Roman" w:cs="Times New Roman"/>
          <w:sz w:val="24"/>
          <w:szCs w:val="24"/>
        </w:rPr>
        <w:t>biplot</w:t>
      </w:r>
      <w:proofErr w:type="spellEnd"/>
      <w:r w:rsidRPr="002E7D02">
        <w:rPr>
          <w:rFonts w:ascii="Times New Roman" w:hAnsi="Times New Roman" w:cs="Times New Roman"/>
          <w:sz w:val="24"/>
          <w:szCs w:val="24"/>
        </w:rPr>
        <w:t xml:space="preserve"> analysis to evaluate genotypic performance and stability across the three environments. Significant genotypic variability among the hybrids for grain yield, days to </w:t>
      </w:r>
      <w:proofErr w:type="spellStart"/>
      <w:r w:rsidRPr="002E7D02">
        <w:rPr>
          <w:rFonts w:ascii="Times New Roman" w:hAnsi="Times New Roman" w:cs="Times New Roman"/>
          <w:sz w:val="24"/>
          <w:szCs w:val="24"/>
        </w:rPr>
        <w:t>tasseling</w:t>
      </w:r>
      <w:proofErr w:type="spellEnd"/>
      <w:r w:rsidRPr="002E7D02">
        <w:rPr>
          <w:rFonts w:ascii="Times New Roman" w:hAnsi="Times New Roman" w:cs="Times New Roman"/>
          <w:sz w:val="24"/>
          <w:szCs w:val="24"/>
        </w:rPr>
        <w:t xml:space="preserve">, and disease tolerance were observed. Hybrids such as QH60, QH19, and QH21 demonstrated superior performance in specific environments, with grain yields of 1,745.10 kg/ha, 3,465.10 kg/ha, </w:t>
      </w:r>
      <w:r w:rsidRPr="002E7D02">
        <w:rPr>
          <w:rFonts w:ascii="Times New Roman" w:eastAsia="Calibri" w:hAnsi="Times New Roman" w:cs="Times New Roman"/>
          <w:sz w:val="24"/>
          <w:szCs w:val="24"/>
        </w:rPr>
        <w:t>3372.55 kg/ha, respectively</w:t>
      </w:r>
      <w:r w:rsidRPr="002E7D02">
        <w:rPr>
          <w:rFonts w:ascii="Times New Roman" w:hAnsi="Times New Roman" w:cs="Times New Roman"/>
          <w:sz w:val="24"/>
          <w:szCs w:val="24"/>
        </w:rPr>
        <w:t>. Almost all the hybrids exhibited minimal diseases syndrome rating for ear rot, maize streak, and leaf blight. However heritability estimate for grain yield</w:t>
      </w:r>
      <w:r w:rsidRPr="002E7D02">
        <w:rPr>
          <w:rFonts w:ascii="Times New Roman" w:eastAsia="Calibri" w:hAnsi="Times New Roman" w:cs="Times New Roman"/>
          <w:sz w:val="24"/>
          <w:szCs w:val="24"/>
        </w:rPr>
        <w:t xml:space="preserve"> and stem lodging </w:t>
      </w:r>
      <w:r w:rsidRPr="002E7D02">
        <w:rPr>
          <w:rFonts w:ascii="Times New Roman" w:hAnsi="Times New Roman" w:cs="Times New Roman"/>
          <w:sz w:val="24"/>
          <w:szCs w:val="24"/>
        </w:rPr>
        <w:lastRenderedPageBreak/>
        <w:t xml:space="preserve">was low with 9.58% and </w:t>
      </w:r>
      <w:r w:rsidRPr="002E7D02">
        <w:rPr>
          <w:rFonts w:ascii="Times New Roman" w:eastAsia="Calibri" w:hAnsi="Times New Roman" w:cs="Times New Roman"/>
          <w:sz w:val="24"/>
          <w:szCs w:val="24"/>
        </w:rPr>
        <w:t>2.90% respectively</w:t>
      </w:r>
      <w:r w:rsidRPr="002E7D02">
        <w:rPr>
          <w:rFonts w:ascii="Times New Roman" w:hAnsi="Times New Roman" w:cs="Times New Roman"/>
          <w:sz w:val="24"/>
          <w:szCs w:val="24"/>
        </w:rPr>
        <w:t xml:space="preserve">, while ear aspect showed high heritability (123.39%). Genetic gain for grain yield was moderate (8.47%). However, ear aspect and 100-seed weight exhibited higher genetic gains of </w:t>
      </w:r>
      <w:r w:rsidRPr="002E7D02">
        <w:rPr>
          <w:rFonts w:ascii="Times New Roman" w:eastAsia="Calibri" w:hAnsi="Times New Roman" w:cs="Times New Roman"/>
          <w:sz w:val="24"/>
          <w:szCs w:val="24"/>
        </w:rPr>
        <w:t>81.42% and19.12% respectively</w:t>
      </w:r>
      <w:r w:rsidRPr="002E7D02">
        <w:rPr>
          <w:rFonts w:ascii="Times New Roman" w:hAnsi="Times New Roman" w:cs="Times New Roman"/>
          <w:sz w:val="24"/>
          <w:szCs w:val="24"/>
        </w:rPr>
        <w:t xml:space="preserve">.GGE </w:t>
      </w:r>
      <w:proofErr w:type="spellStart"/>
      <w:r w:rsidRPr="002E7D02">
        <w:rPr>
          <w:rFonts w:ascii="Times New Roman" w:hAnsi="Times New Roman" w:cs="Times New Roman"/>
          <w:sz w:val="24"/>
          <w:szCs w:val="24"/>
        </w:rPr>
        <w:t>biplot</w:t>
      </w:r>
      <w:proofErr w:type="spellEnd"/>
      <w:r w:rsidRPr="002E7D02">
        <w:rPr>
          <w:rFonts w:ascii="Times New Roman" w:hAnsi="Times New Roman" w:cs="Times New Roman"/>
          <w:sz w:val="24"/>
          <w:szCs w:val="24"/>
        </w:rPr>
        <w:t xml:space="preserve"> analysis revealed that the three environments belonged to two mega environments with </w:t>
      </w:r>
      <w:proofErr w:type="spellStart"/>
      <w:r w:rsidRPr="002E7D02">
        <w:rPr>
          <w:rFonts w:ascii="Times New Roman" w:hAnsi="Times New Roman" w:cs="Times New Roman"/>
          <w:sz w:val="24"/>
          <w:szCs w:val="24"/>
        </w:rPr>
        <w:t>Ayetoro</w:t>
      </w:r>
      <w:proofErr w:type="spellEnd"/>
      <w:r w:rsidRPr="002E7D02">
        <w:rPr>
          <w:rFonts w:ascii="Times New Roman" w:hAnsi="Times New Roman" w:cs="Times New Roman"/>
          <w:sz w:val="24"/>
          <w:szCs w:val="24"/>
        </w:rPr>
        <w:t xml:space="preserve"> 2023 being the most representative and stable. Abeokuta 2024 was the most discriminative environment while </w:t>
      </w:r>
      <w:proofErr w:type="spellStart"/>
      <w:r w:rsidRPr="002E7D02">
        <w:rPr>
          <w:rFonts w:ascii="Times New Roman" w:hAnsi="Times New Roman" w:cs="Times New Roman"/>
          <w:sz w:val="24"/>
          <w:szCs w:val="24"/>
        </w:rPr>
        <w:t>Ayetoro</w:t>
      </w:r>
      <w:proofErr w:type="spellEnd"/>
      <w:r w:rsidRPr="002E7D02">
        <w:rPr>
          <w:rFonts w:ascii="Times New Roman" w:hAnsi="Times New Roman" w:cs="Times New Roman"/>
          <w:sz w:val="24"/>
          <w:szCs w:val="24"/>
        </w:rPr>
        <w:t xml:space="preserve"> 2023 was the least discriminative, with more uniform genotypic performance. Hybrids QH34, QH18, QH30 and LOC2, were consistent in performance across environments. Hybrid QH38 was the highest-yielding (3,389.02 kg/ha) and most stable hybrid across environments. Hybrid</w:t>
      </w:r>
      <w:r w:rsidRPr="002E7D02">
        <w:rPr>
          <w:rFonts w:ascii="Times New Roman" w:eastAsia="Calibri" w:hAnsi="Times New Roman" w:cs="Times New Roman"/>
          <w:sz w:val="24"/>
          <w:szCs w:val="24"/>
        </w:rPr>
        <w:t xml:space="preserve"> QH29, QH61 and LOC1 had poor grain yield across the three environments. Hybrid LOC1, QH58, and QH11 were less responsive with poor inconsistent performance across the environments. </w:t>
      </w:r>
      <w:r w:rsidRPr="002E7D02">
        <w:rPr>
          <w:rFonts w:ascii="Times New Roman" w:hAnsi="Times New Roman" w:cs="Times New Roman"/>
          <w:sz w:val="24"/>
          <w:szCs w:val="24"/>
        </w:rPr>
        <w:t xml:space="preserve">In conclusion, this study identified QPM hybrids with high yield potential, stability, and tolerance to multiple stresses, making them suitable for cultivation in the </w:t>
      </w:r>
      <w:proofErr w:type="spellStart"/>
      <w:r w:rsidRPr="002E7D02">
        <w:rPr>
          <w:rFonts w:ascii="Times New Roman" w:hAnsi="Times New Roman" w:cs="Times New Roman"/>
          <w:sz w:val="24"/>
          <w:szCs w:val="24"/>
        </w:rPr>
        <w:t>savanna</w:t>
      </w:r>
      <w:proofErr w:type="spellEnd"/>
      <w:r w:rsidRPr="002E7D02">
        <w:rPr>
          <w:rFonts w:ascii="Times New Roman" w:hAnsi="Times New Roman" w:cs="Times New Roman"/>
          <w:sz w:val="24"/>
          <w:szCs w:val="24"/>
        </w:rPr>
        <w:t xml:space="preserve"> agro-ecologies of </w:t>
      </w:r>
      <w:proofErr w:type="spellStart"/>
      <w:r w:rsidRPr="002E7D02">
        <w:rPr>
          <w:rFonts w:ascii="Times New Roman" w:hAnsi="Times New Roman" w:cs="Times New Roman"/>
          <w:sz w:val="24"/>
          <w:szCs w:val="24"/>
        </w:rPr>
        <w:t>Ogun</w:t>
      </w:r>
      <w:proofErr w:type="spellEnd"/>
      <w:r w:rsidRPr="002E7D02">
        <w:rPr>
          <w:rFonts w:ascii="Times New Roman" w:hAnsi="Times New Roman" w:cs="Times New Roman"/>
          <w:sz w:val="24"/>
          <w:szCs w:val="24"/>
        </w:rPr>
        <w:t xml:space="preserve"> state. </w:t>
      </w:r>
      <w:proofErr w:type="gramStart"/>
      <w:r w:rsidRPr="002E7D02">
        <w:rPr>
          <w:rFonts w:ascii="Times New Roman" w:hAnsi="Times New Roman" w:cs="Times New Roman"/>
          <w:sz w:val="24"/>
          <w:szCs w:val="24"/>
        </w:rPr>
        <w:t>These</w:t>
      </w:r>
      <w:proofErr w:type="gramEnd"/>
      <w:r w:rsidRPr="002E7D02">
        <w:rPr>
          <w:rFonts w:ascii="Times New Roman" w:hAnsi="Times New Roman" w:cs="Times New Roman"/>
          <w:sz w:val="24"/>
          <w:szCs w:val="24"/>
        </w:rPr>
        <w:t xml:space="preserve"> integration of stable, high-performing QPM hybrids into breeding programs is recommended to mitigate the effects of climate change and improve maize productivity in stress-prone environments.</w:t>
      </w: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3166B1"/>
    <w:rsid w:val="003166B1"/>
    <w:rsid w:val="005F20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66B1"/>
    <w:pPr>
      <w:spacing w:before="720"/>
      <w:ind w:left="170"/>
      <w:jc w:val="both"/>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166B1"/>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3166B1"/>
    <w:rPr>
      <w:lang w:val="en-GB"/>
    </w:rPr>
  </w:style>
  <w:style w:type="paragraph" w:styleId="NormalWeb">
    <w:name w:val="Normal (Web)"/>
    <w:basedOn w:val="Normal"/>
    <w:uiPriority w:val="99"/>
    <w:semiHidden/>
    <w:unhideWhenUsed/>
    <w:rsid w:val="003166B1"/>
    <w:pPr>
      <w:spacing w:before="100" w:beforeAutospacing="1" w:after="100" w:afterAutospacing="1" w:line="240" w:lineRule="auto"/>
      <w:ind w:left="0"/>
      <w:jc w:val="left"/>
    </w:pPr>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578</Words>
  <Characters>3298</Characters>
  <Application>Microsoft Office Word</Application>
  <DocSecurity>0</DocSecurity>
  <Lines>27</Lines>
  <Paragraphs>7</Paragraphs>
  <ScaleCrop>false</ScaleCrop>
  <Company/>
  <LinksUpToDate>false</LinksUpToDate>
  <CharactersWithSpaces>3869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2025-12-16T13:03:00Z</dcterms:created>
  <dcterms:modified xsi:type="dcterms:W3CDTF">2025-12-16T13:03:00Z</dcterms:modified>
</cp:coreProperties>
</file>