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6A9B" w:rsidRPr="00EB6E78" w:rsidRDefault="00176A9B" w:rsidP="00176A9B">
      <w:pPr>
        <w:tabs>
          <w:tab w:val="left" w:pos="1778"/>
        </w:tabs>
        <w:spacing w:after="160" w:line="480" w:lineRule="auto"/>
        <w:jc w:val="center"/>
        <w:rPr>
          <w:rFonts w:eastAsia="Calibri"/>
          <w:b/>
          <w:sz w:val="24"/>
          <w:szCs w:val="24"/>
        </w:rPr>
      </w:pPr>
      <w:r w:rsidRPr="00456BCC">
        <w:rPr>
          <w:rFonts w:eastAsia="Calibri"/>
          <w:b/>
          <w:bCs/>
          <w:sz w:val="24"/>
          <w:szCs w:val="24"/>
        </w:rPr>
        <w:t xml:space="preserve">GROWTH RESPONSE, NUTRIENT UTILIZATION, AND HEALTH PARAMETERS OF </w:t>
      </w:r>
      <w:proofErr w:type="spellStart"/>
      <w:r w:rsidRPr="00456BCC">
        <w:rPr>
          <w:rFonts w:eastAsia="Calibri"/>
          <w:b/>
          <w:bCs/>
          <w:i/>
          <w:iCs/>
          <w:sz w:val="24"/>
          <w:szCs w:val="24"/>
        </w:rPr>
        <w:t>Clarias</w:t>
      </w:r>
      <w:proofErr w:type="spellEnd"/>
      <w:r w:rsidRPr="00456BCC">
        <w:rPr>
          <w:rFonts w:eastAsia="Calibri"/>
          <w:b/>
          <w:bCs/>
          <w:i/>
          <w:iCs/>
          <w:sz w:val="24"/>
          <w:szCs w:val="24"/>
        </w:rPr>
        <w:t xml:space="preserve"> </w:t>
      </w:r>
      <w:proofErr w:type="spellStart"/>
      <w:r w:rsidRPr="00456BCC">
        <w:rPr>
          <w:rFonts w:eastAsia="Calibri"/>
          <w:b/>
          <w:bCs/>
          <w:i/>
          <w:iCs/>
          <w:sz w:val="24"/>
          <w:szCs w:val="24"/>
        </w:rPr>
        <w:t>gariepinus</w:t>
      </w:r>
      <w:proofErr w:type="spellEnd"/>
      <w:r w:rsidRPr="00456BCC">
        <w:rPr>
          <w:rFonts w:eastAsia="Calibri"/>
          <w:b/>
          <w:bCs/>
          <w:sz w:val="24"/>
          <w:szCs w:val="24"/>
        </w:rPr>
        <w:t xml:space="preserve"> (</w:t>
      </w:r>
      <w:proofErr w:type="spellStart"/>
      <w:r w:rsidRPr="00456BCC">
        <w:rPr>
          <w:rFonts w:eastAsia="Calibri"/>
          <w:b/>
          <w:bCs/>
          <w:sz w:val="24"/>
          <w:szCs w:val="24"/>
        </w:rPr>
        <w:t>Burchell</w:t>
      </w:r>
      <w:proofErr w:type="spellEnd"/>
      <w:r w:rsidRPr="00456BCC">
        <w:rPr>
          <w:rFonts w:eastAsia="Calibri"/>
          <w:b/>
          <w:bCs/>
          <w:sz w:val="24"/>
          <w:szCs w:val="24"/>
        </w:rPr>
        <w:t xml:space="preserve">, 1822) FED VARIOUS LEVELS OF SOAKED AND FERMENTED </w:t>
      </w:r>
      <w:proofErr w:type="spellStart"/>
      <w:r w:rsidRPr="00456BCC">
        <w:rPr>
          <w:rFonts w:eastAsia="Calibri"/>
          <w:b/>
          <w:bCs/>
          <w:i/>
          <w:iCs/>
          <w:sz w:val="24"/>
          <w:szCs w:val="24"/>
        </w:rPr>
        <w:t>Enterolobiumcyclocarpum</w:t>
      </w:r>
      <w:proofErr w:type="spellEnd"/>
      <w:r w:rsidRPr="00456BCC">
        <w:rPr>
          <w:rFonts w:eastAsia="Calibri"/>
          <w:b/>
          <w:bCs/>
          <w:sz w:val="24"/>
          <w:szCs w:val="24"/>
        </w:rPr>
        <w:t xml:space="preserve"> LEAF</w:t>
      </w:r>
    </w:p>
    <w:p w:rsidR="00176A9B" w:rsidRDefault="00176A9B" w:rsidP="00176A9B">
      <w:pPr>
        <w:tabs>
          <w:tab w:val="left" w:pos="1778"/>
        </w:tabs>
        <w:spacing w:after="160" w:line="480" w:lineRule="auto"/>
        <w:jc w:val="center"/>
        <w:rPr>
          <w:rFonts w:eastAsia="Calibri"/>
          <w:b/>
          <w:sz w:val="24"/>
          <w:szCs w:val="24"/>
        </w:rPr>
      </w:pPr>
    </w:p>
    <w:p w:rsidR="00176A9B" w:rsidRDefault="00176A9B" w:rsidP="00176A9B">
      <w:pPr>
        <w:tabs>
          <w:tab w:val="left" w:pos="1778"/>
        </w:tabs>
        <w:spacing w:after="160" w:line="480" w:lineRule="auto"/>
        <w:jc w:val="center"/>
        <w:rPr>
          <w:rFonts w:eastAsia="Calibri"/>
          <w:b/>
          <w:sz w:val="24"/>
          <w:szCs w:val="24"/>
        </w:rPr>
      </w:pPr>
    </w:p>
    <w:p w:rsidR="00176A9B" w:rsidRPr="00EB6E78" w:rsidRDefault="00176A9B" w:rsidP="00176A9B">
      <w:pPr>
        <w:tabs>
          <w:tab w:val="left" w:pos="1778"/>
        </w:tabs>
        <w:spacing w:after="160" w:line="480" w:lineRule="auto"/>
        <w:jc w:val="center"/>
        <w:rPr>
          <w:rFonts w:eastAsia="Calibri"/>
          <w:b/>
          <w:sz w:val="24"/>
          <w:szCs w:val="24"/>
        </w:rPr>
      </w:pPr>
      <w:r w:rsidRPr="00EB6E78">
        <w:rPr>
          <w:rFonts w:eastAsia="Calibri"/>
          <w:b/>
          <w:sz w:val="24"/>
          <w:szCs w:val="24"/>
        </w:rPr>
        <w:t>BY</w:t>
      </w:r>
    </w:p>
    <w:p w:rsidR="00176A9B" w:rsidRPr="00EB6E78" w:rsidRDefault="00176A9B" w:rsidP="00176A9B">
      <w:pPr>
        <w:tabs>
          <w:tab w:val="left" w:pos="1778"/>
        </w:tabs>
        <w:spacing w:after="160" w:line="480" w:lineRule="auto"/>
        <w:jc w:val="center"/>
        <w:rPr>
          <w:rFonts w:eastAsia="Calibri"/>
          <w:b/>
          <w:sz w:val="24"/>
          <w:szCs w:val="24"/>
        </w:rPr>
      </w:pPr>
    </w:p>
    <w:p w:rsidR="00176A9B" w:rsidRPr="00EB6E78" w:rsidRDefault="00176A9B" w:rsidP="00176A9B">
      <w:pPr>
        <w:tabs>
          <w:tab w:val="left" w:pos="1778"/>
        </w:tabs>
        <w:spacing w:line="480" w:lineRule="auto"/>
        <w:jc w:val="center"/>
        <w:rPr>
          <w:rFonts w:eastAsia="Calibri"/>
          <w:b/>
          <w:sz w:val="24"/>
          <w:szCs w:val="24"/>
        </w:rPr>
      </w:pPr>
      <w:r w:rsidRPr="00EB6E78">
        <w:rPr>
          <w:rFonts w:eastAsia="Calibri"/>
          <w:b/>
          <w:sz w:val="24"/>
          <w:szCs w:val="24"/>
        </w:rPr>
        <w:t>ABUBAKAR IBRAHIM TOYIN</w:t>
      </w:r>
    </w:p>
    <w:p w:rsidR="00176A9B" w:rsidRPr="00EB6E78" w:rsidRDefault="00176A9B" w:rsidP="00176A9B">
      <w:pPr>
        <w:tabs>
          <w:tab w:val="left" w:pos="1778"/>
        </w:tabs>
        <w:spacing w:line="480" w:lineRule="auto"/>
        <w:jc w:val="center"/>
        <w:rPr>
          <w:rFonts w:eastAsia="Calibri"/>
          <w:b/>
          <w:sz w:val="24"/>
          <w:szCs w:val="24"/>
        </w:rPr>
      </w:pPr>
      <w:r w:rsidRPr="00EB6E78">
        <w:rPr>
          <w:rFonts w:eastAsia="Calibri"/>
          <w:b/>
          <w:sz w:val="24"/>
          <w:szCs w:val="24"/>
        </w:rPr>
        <w:t>PG15/0640</w:t>
      </w:r>
    </w:p>
    <w:p w:rsidR="00176A9B" w:rsidRPr="00EB6E78" w:rsidRDefault="00176A9B" w:rsidP="00176A9B">
      <w:pPr>
        <w:tabs>
          <w:tab w:val="left" w:pos="1778"/>
        </w:tabs>
        <w:spacing w:after="160" w:line="480" w:lineRule="auto"/>
        <w:jc w:val="center"/>
        <w:rPr>
          <w:rFonts w:eastAsia="Calibri"/>
          <w:b/>
          <w:sz w:val="24"/>
          <w:szCs w:val="24"/>
        </w:rPr>
      </w:pPr>
      <w:r w:rsidRPr="00EB6E78">
        <w:rPr>
          <w:rFonts w:eastAsia="Calibri"/>
          <w:b/>
          <w:sz w:val="24"/>
          <w:szCs w:val="24"/>
        </w:rPr>
        <w:t xml:space="preserve">B. AGRIC. (UNILORIN), PGD (LASU). </w:t>
      </w:r>
    </w:p>
    <w:p w:rsidR="00176A9B" w:rsidRPr="00EB6E78" w:rsidRDefault="00176A9B" w:rsidP="00176A9B">
      <w:pPr>
        <w:tabs>
          <w:tab w:val="left" w:pos="1778"/>
        </w:tabs>
        <w:spacing w:after="160" w:line="480" w:lineRule="auto"/>
        <w:jc w:val="both"/>
        <w:rPr>
          <w:rFonts w:eastAsia="Calibri"/>
          <w:b/>
          <w:sz w:val="24"/>
          <w:szCs w:val="24"/>
        </w:rPr>
      </w:pPr>
    </w:p>
    <w:p w:rsidR="00176A9B" w:rsidRPr="00EB6E78" w:rsidRDefault="00176A9B" w:rsidP="00176A9B">
      <w:pPr>
        <w:tabs>
          <w:tab w:val="left" w:pos="1778"/>
        </w:tabs>
        <w:spacing w:after="160" w:line="480" w:lineRule="auto"/>
        <w:jc w:val="both"/>
        <w:rPr>
          <w:rFonts w:eastAsia="Calibri"/>
          <w:b/>
          <w:sz w:val="24"/>
          <w:szCs w:val="24"/>
        </w:rPr>
      </w:pPr>
    </w:p>
    <w:p w:rsidR="00176A9B" w:rsidRPr="00EB6E78" w:rsidRDefault="00176A9B" w:rsidP="00176A9B">
      <w:pPr>
        <w:tabs>
          <w:tab w:val="left" w:pos="1778"/>
        </w:tabs>
        <w:spacing w:after="160" w:line="480" w:lineRule="auto"/>
        <w:jc w:val="center"/>
        <w:rPr>
          <w:rFonts w:eastAsia="Calibri"/>
          <w:b/>
          <w:sz w:val="24"/>
          <w:szCs w:val="24"/>
        </w:rPr>
      </w:pPr>
      <w:r w:rsidRPr="00EB6E78">
        <w:rPr>
          <w:rFonts w:eastAsia="Calibri"/>
          <w:b/>
          <w:sz w:val="24"/>
          <w:szCs w:val="24"/>
        </w:rPr>
        <w:t>A PROJECT SUBMITTED TO THE DEPARTMENT OF AQUACULTURE AND FISHERIES MANAGEMENT, COLLEGE OF ENVIRONMENTAL RESOURCES MANAGEMENT, FEDERAL UNIVERSITY OF AGRICULTURE, ABEOKUTA</w:t>
      </w:r>
    </w:p>
    <w:p w:rsidR="00176A9B" w:rsidRPr="00EB6E78" w:rsidRDefault="00176A9B" w:rsidP="00176A9B">
      <w:pPr>
        <w:tabs>
          <w:tab w:val="left" w:pos="1778"/>
        </w:tabs>
        <w:spacing w:after="160" w:line="480" w:lineRule="auto"/>
        <w:jc w:val="center"/>
        <w:rPr>
          <w:rFonts w:eastAsia="Calibri"/>
          <w:b/>
          <w:sz w:val="24"/>
          <w:szCs w:val="24"/>
        </w:rPr>
      </w:pPr>
      <w:r w:rsidRPr="00EB6E78">
        <w:rPr>
          <w:rFonts w:eastAsia="Calibri"/>
          <w:b/>
          <w:sz w:val="24"/>
          <w:szCs w:val="24"/>
        </w:rPr>
        <w:t xml:space="preserve"> IN PARTIAL FULFILLMENT OF THE REQUIREMENTS FOR THE AWARD OF MASTERS IN AQUACULTURE AND FISHERIES MANAGEMENT</w:t>
      </w:r>
    </w:p>
    <w:p w:rsidR="00176A9B" w:rsidRPr="00EB6E78" w:rsidRDefault="00176A9B" w:rsidP="00176A9B">
      <w:pPr>
        <w:tabs>
          <w:tab w:val="left" w:pos="1778"/>
        </w:tabs>
        <w:spacing w:after="160" w:line="480" w:lineRule="auto"/>
        <w:jc w:val="both"/>
        <w:rPr>
          <w:rFonts w:eastAsia="Calibri"/>
          <w:b/>
          <w:sz w:val="24"/>
          <w:szCs w:val="24"/>
        </w:rPr>
      </w:pPr>
    </w:p>
    <w:p w:rsidR="00176A9B" w:rsidRDefault="00176A9B" w:rsidP="00176A9B">
      <w:pPr>
        <w:tabs>
          <w:tab w:val="left" w:pos="1778"/>
        </w:tabs>
        <w:spacing w:after="160" w:line="480" w:lineRule="auto"/>
        <w:jc w:val="right"/>
        <w:rPr>
          <w:rFonts w:eastAsia="Calibri"/>
          <w:b/>
          <w:sz w:val="24"/>
          <w:szCs w:val="24"/>
        </w:rPr>
      </w:pPr>
    </w:p>
    <w:p w:rsidR="00176A9B" w:rsidRPr="00EB6E78" w:rsidRDefault="00176A9B" w:rsidP="00176A9B">
      <w:pPr>
        <w:tabs>
          <w:tab w:val="left" w:pos="1778"/>
        </w:tabs>
        <w:spacing w:after="160" w:line="480" w:lineRule="auto"/>
        <w:jc w:val="center"/>
        <w:rPr>
          <w:rFonts w:eastAsia="Calibri"/>
          <w:b/>
          <w:sz w:val="24"/>
          <w:szCs w:val="24"/>
        </w:rPr>
      </w:pPr>
      <w:r>
        <w:rPr>
          <w:rFonts w:eastAsia="Calibri"/>
          <w:b/>
          <w:sz w:val="24"/>
          <w:szCs w:val="24"/>
        </w:rPr>
        <w:t>MAY</w:t>
      </w:r>
      <w:r w:rsidRPr="00EB6E78">
        <w:rPr>
          <w:rFonts w:eastAsia="Calibri"/>
          <w:b/>
          <w:sz w:val="24"/>
          <w:szCs w:val="24"/>
        </w:rPr>
        <w:t>, 2025</w:t>
      </w:r>
    </w:p>
    <w:p w:rsidR="00176A9B" w:rsidRPr="00EB6E78" w:rsidRDefault="00176A9B" w:rsidP="00176A9B">
      <w:pPr>
        <w:tabs>
          <w:tab w:val="left" w:pos="1778"/>
        </w:tabs>
        <w:spacing w:after="160" w:line="480" w:lineRule="auto"/>
        <w:jc w:val="center"/>
        <w:rPr>
          <w:rFonts w:eastAsia="Calibri"/>
          <w:b/>
          <w:sz w:val="24"/>
          <w:szCs w:val="24"/>
        </w:rPr>
      </w:pPr>
      <w:r w:rsidRPr="00EB6E78">
        <w:rPr>
          <w:rFonts w:eastAsia="Calibri"/>
          <w:b/>
          <w:sz w:val="24"/>
          <w:szCs w:val="24"/>
        </w:rPr>
        <w:lastRenderedPageBreak/>
        <w:t>ABSTRACT</w:t>
      </w:r>
    </w:p>
    <w:p w:rsidR="00176A9B" w:rsidRPr="00071624" w:rsidRDefault="00176A9B" w:rsidP="00176A9B">
      <w:pPr>
        <w:spacing w:after="160" w:line="480" w:lineRule="auto"/>
        <w:jc w:val="both"/>
        <w:rPr>
          <w:sz w:val="24"/>
          <w:szCs w:val="24"/>
        </w:rPr>
      </w:pPr>
      <w:r w:rsidRPr="00071624">
        <w:rPr>
          <w:sz w:val="24"/>
          <w:szCs w:val="24"/>
        </w:rPr>
        <w:t xml:space="preserve">High cost of conventional dietary protein ingredients sources such as soybean meal, in </w:t>
      </w:r>
      <w:proofErr w:type="spellStart"/>
      <w:r w:rsidRPr="00071624">
        <w:rPr>
          <w:sz w:val="24"/>
          <w:szCs w:val="24"/>
        </w:rPr>
        <w:t>aquafeed</w:t>
      </w:r>
      <w:proofErr w:type="spellEnd"/>
      <w:r w:rsidRPr="00071624">
        <w:rPr>
          <w:sz w:val="24"/>
          <w:szCs w:val="24"/>
        </w:rPr>
        <w:t xml:space="preserve"> production necessitates the exploration of cost-effective and locally available alternatives with limited relevance in human diet. This study investigated the performance, nutrient utilization and health of </w:t>
      </w:r>
      <w:proofErr w:type="spellStart"/>
      <w:r w:rsidRPr="00071624">
        <w:rPr>
          <w:i/>
          <w:iCs/>
          <w:sz w:val="24"/>
          <w:szCs w:val="24"/>
        </w:rPr>
        <w:t>Clarias</w:t>
      </w:r>
      <w:proofErr w:type="spellEnd"/>
      <w:r w:rsidRPr="00071624">
        <w:rPr>
          <w:i/>
          <w:iCs/>
          <w:sz w:val="24"/>
          <w:szCs w:val="24"/>
        </w:rPr>
        <w:t xml:space="preserve"> </w:t>
      </w:r>
      <w:proofErr w:type="spellStart"/>
      <w:r w:rsidRPr="00071624">
        <w:rPr>
          <w:i/>
          <w:iCs/>
          <w:sz w:val="24"/>
          <w:szCs w:val="24"/>
        </w:rPr>
        <w:t>gariepinus</w:t>
      </w:r>
      <w:proofErr w:type="spellEnd"/>
      <w:r w:rsidRPr="00071624">
        <w:rPr>
          <w:sz w:val="24"/>
          <w:szCs w:val="24"/>
        </w:rPr>
        <w:t xml:space="preserve"> fingerlings fed diets with graded (0, 10, 20, and 30%) levels of soaked and fermented </w:t>
      </w:r>
      <w:proofErr w:type="spellStart"/>
      <w:r w:rsidRPr="00071624">
        <w:rPr>
          <w:i/>
          <w:iCs/>
          <w:sz w:val="24"/>
          <w:szCs w:val="24"/>
        </w:rPr>
        <w:t>Enterolobiumcyclocarpum</w:t>
      </w:r>
      <w:proofErr w:type="spellEnd"/>
      <w:r w:rsidRPr="00071624">
        <w:rPr>
          <w:sz w:val="24"/>
          <w:szCs w:val="24"/>
        </w:rPr>
        <w:t xml:space="preserve"> leaf meal. Seven </w:t>
      </w:r>
      <w:proofErr w:type="spellStart"/>
      <w:r w:rsidRPr="00071624">
        <w:rPr>
          <w:sz w:val="24"/>
          <w:szCs w:val="24"/>
        </w:rPr>
        <w:t>isonitrogenous</w:t>
      </w:r>
      <w:proofErr w:type="spellEnd"/>
      <w:r w:rsidRPr="00071624">
        <w:rPr>
          <w:sz w:val="24"/>
          <w:szCs w:val="24"/>
        </w:rPr>
        <w:t xml:space="preserve"> (40% crude protein) and </w:t>
      </w:r>
      <w:proofErr w:type="spellStart"/>
      <w:r w:rsidRPr="00071624">
        <w:rPr>
          <w:sz w:val="24"/>
          <w:szCs w:val="24"/>
        </w:rPr>
        <w:t>isoenergetic</w:t>
      </w:r>
      <w:proofErr w:type="spellEnd"/>
      <w:r w:rsidRPr="00071624">
        <w:rPr>
          <w:sz w:val="24"/>
          <w:szCs w:val="24"/>
        </w:rPr>
        <w:t xml:space="preserve"> (314kcal) diets were </w:t>
      </w:r>
      <w:proofErr w:type="spellStart"/>
      <w:r w:rsidRPr="00071624">
        <w:rPr>
          <w:sz w:val="24"/>
          <w:szCs w:val="24"/>
        </w:rPr>
        <w:t>formulated</w:t>
      </w:r>
      <w:proofErr w:type="gramStart"/>
      <w:r w:rsidRPr="00071624">
        <w:rPr>
          <w:sz w:val="24"/>
          <w:szCs w:val="24"/>
        </w:rPr>
        <w:t>,the</w:t>
      </w:r>
      <w:proofErr w:type="spellEnd"/>
      <w:proofErr w:type="gramEnd"/>
      <w:r w:rsidRPr="00071624">
        <w:rPr>
          <w:sz w:val="24"/>
          <w:szCs w:val="24"/>
        </w:rPr>
        <w:t xml:space="preserve"> control diet without either meal and  designated as TS1–TS3 (10%, 20%, 30% </w:t>
      </w:r>
      <w:proofErr w:type="spellStart"/>
      <w:r w:rsidRPr="00071624">
        <w:rPr>
          <w:sz w:val="24"/>
          <w:szCs w:val="24"/>
        </w:rPr>
        <w:t>SEcLM</w:t>
      </w:r>
      <w:proofErr w:type="spellEnd"/>
      <w:r w:rsidRPr="00071624">
        <w:rPr>
          <w:sz w:val="24"/>
          <w:szCs w:val="24"/>
        </w:rPr>
        <w:t xml:space="preserve">) and TF1–TF3 (10%, 20%, 30% </w:t>
      </w:r>
      <w:proofErr w:type="spellStart"/>
      <w:r w:rsidRPr="00071624">
        <w:rPr>
          <w:sz w:val="24"/>
          <w:szCs w:val="24"/>
        </w:rPr>
        <w:t>FEcLM</w:t>
      </w:r>
      <w:proofErr w:type="spellEnd"/>
      <w:r w:rsidRPr="00071624">
        <w:rPr>
          <w:sz w:val="24"/>
          <w:szCs w:val="24"/>
        </w:rPr>
        <w:t xml:space="preserve">). The feeds were fed to triplicate groups of fish at 3% body weight daily for eight weeks. Growth, feed conversion ratio (FCR), specific growth rate (SGR), protein efficiency ratio and apparent protein digestibility (APD) parameters were monitored weekly. Blood samples were collected from each group for </w:t>
      </w:r>
      <w:proofErr w:type="spellStart"/>
      <w:r w:rsidRPr="00071624">
        <w:rPr>
          <w:sz w:val="24"/>
          <w:szCs w:val="24"/>
        </w:rPr>
        <w:t>haematology</w:t>
      </w:r>
      <w:proofErr w:type="spellEnd"/>
      <w:r w:rsidRPr="00071624">
        <w:rPr>
          <w:sz w:val="24"/>
          <w:szCs w:val="24"/>
        </w:rPr>
        <w:t xml:space="preserve"> and blood chemistry analyses, while the liver and mid gut were observed for </w:t>
      </w:r>
      <w:proofErr w:type="spellStart"/>
      <w:r w:rsidRPr="00071624">
        <w:rPr>
          <w:sz w:val="24"/>
          <w:szCs w:val="24"/>
        </w:rPr>
        <w:t>histopathological</w:t>
      </w:r>
      <w:proofErr w:type="spellEnd"/>
      <w:r w:rsidRPr="00071624">
        <w:rPr>
          <w:sz w:val="24"/>
          <w:szCs w:val="24"/>
        </w:rPr>
        <w:t xml:space="preserve"> studies. Data obtained were </w:t>
      </w:r>
      <w:proofErr w:type="spellStart"/>
      <w:r w:rsidRPr="00071624">
        <w:rPr>
          <w:sz w:val="24"/>
          <w:szCs w:val="24"/>
        </w:rPr>
        <w:t>analysed</w:t>
      </w:r>
      <w:proofErr w:type="spellEnd"/>
      <w:r w:rsidRPr="00071624">
        <w:rPr>
          <w:sz w:val="24"/>
          <w:szCs w:val="24"/>
        </w:rPr>
        <w:t xml:space="preserve"> using descriptive and inferential statistics. Results showed that fish fed TF2 (20% </w:t>
      </w:r>
      <w:proofErr w:type="spellStart"/>
      <w:r w:rsidRPr="00071624">
        <w:rPr>
          <w:sz w:val="24"/>
          <w:szCs w:val="24"/>
        </w:rPr>
        <w:t>FEcLM</w:t>
      </w:r>
      <w:proofErr w:type="spellEnd"/>
      <w:r w:rsidRPr="00071624">
        <w:rPr>
          <w:sz w:val="24"/>
          <w:szCs w:val="24"/>
        </w:rPr>
        <w:t xml:space="preserve">) and TF3 (30% </w:t>
      </w:r>
      <w:proofErr w:type="spellStart"/>
      <w:r w:rsidRPr="00071624">
        <w:rPr>
          <w:sz w:val="24"/>
          <w:szCs w:val="24"/>
        </w:rPr>
        <w:t>FEcLM</w:t>
      </w:r>
      <w:proofErr w:type="spellEnd"/>
      <w:r w:rsidRPr="00071624">
        <w:rPr>
          <w:sz w:val="24"/>
          <w:szCs w:val="24"/>
        </w:rPr>
        <w:t xml:space="preserve">) achieved superior growth compared to the control. Final body weight for TF3 (13.85 g) and TF2 (13.12 g) significantly exceeded that of the control group (12.42 g). Specific Growth Rate (SGR) was highest in TF3 (2.09%/day), compared to 1.91%/day in the control. Feed Conversion Ratio (FCR) also improved in TF3 (1.54), over the group fed the control (1.70). Protein Efficiency Ratio (PER) peaked in the group of fish fedTF3 (2.67), also surpassing the control diet (2.40). These results suggest that fermentation enhanced the nutritional quality of </w:t>
      </w:r>
      <w:r w:rsidRPr="00071624">
        <w:rPr>
          <w:i/>
          <w:iCs/>
          <w:sz w:val="24"/>
          <w:szCs w:val="24"/>
        </w:rPr>
        <w:t xml:space="preserve">E. </w:t>
      </w:r>
      <w:proofErr w:type="spellStart"/>
      <w:r w:rsidRPr="00071624">
        <w:rPr>
          <w:i/>
          <w:iCs/>
          <w:sz w:val="24"/>
          <w:szCs w:val="24"/>
        </w:rPr>
        <w:t>cyclocarpum</w:t>
      </w:r>
      <w:proofErr w:type="spellEnd"/>
      <w:r w:rsidRPr="00071624">
        <w:rPr>
          <w:sz w:val="24"/>
          <w:szCs w:val="24"/>
        </w:rPr>
        <w:t xml:space="preserve"> leaves, likely by reducing anti-nutritional factors, improving nutrient value and nutrient availability. </w:t>
      </w:r>
      <w:proofErr w:type="spellStart"/>
      <w:r w:rsidRPr="00071624">
        <w:rPr>
          <w:sz w:val="24"/>
          <w:szCs w:val="24"/>
        </w:rPr>
        <w:t>Haematological</w:t>
      </w:r>
      <w:proofErr w:type="spellEnd"/>
      <w:r w:rsidRPr="00071624">
        <w:rPr>
          <w:sz w:val="24"/>
          <w:szCs w:val="24"/>
        </w:rPr>
        <w:t xml:space="preserve"> parameters remained within normal physiological ranges, indicating no adverse health effects. Packed Cell Volume (PCV) was highest in TF3 (31.3%) and TF2 </w:t>
      </w:r>
      <w:r w:rsidRPr="00071624">
        <w:rPr>
          <w:sz w:val="24"/>
          <w:szCs w:val="24"/>
        </w:rPr>
        <w:lastRenderedPageBreak/>
        <w:t xml:space="preserve">(30.6%), compared to the control (27.6%). </w:t>
      </w:r>
      <w:proofErr w:type="spellStart"/>
      <w:r w:rsidRPr="00071624">
        <w:rPr>
          <w:sz w:val="24"/>
          <w:szCs w:val="24"/>
        </w:rPr>
        <w:t>Haemoglobin</w:t>
      </w:r>
      <w:proofErr w:type="spellEnd"/>
      <w:r w:rsidRPr="00071624">
        <w:rPr>
          <w:sz w:val="24"/>
          <w:szCs w:val="24"/>
        </w:rPr>
        <w:t xml:space="preserve"> concentration also followed this trend, with TF3 and TF2 recording 7.8 g/dl and 7.6 g/dl, respectively, versus 6.9 g/dl in the control group. Red Blood Cell (RBC) counts were 2.64 ×10¹²/L and 2.51 ×10¹²/L in TF3 and TF2, respectively, which were higher than the control (2.21 ×10¹²/L). White Blood Cell (WBC) levels remained stable across treatments, suggesting no immunological stress. Histological examination revealed no significant lesions in the liver and intestinal tissues of fish fed diets up to 20% </w:t>
      </w:r>
      <w:proofErr w:type="spellStart"/>
      <w:r w:rsidRPr="00071624">
        <w:rPr>
          <w:sz w:val="24"/>
          <w:szCs w:val="24"/>
        </w:rPr>
        <w:t>FEcLM</w:t>
      </w:r>
      <w:proofErr w:type="spellEnd"/>
      <w:r w:rsidRPr="00071624">
        <w:rPr>
          <w:sz w:val="24"/>
          <w:szCs w:val="24"/>
        </w:rPr>
        <w:t xml:space="preserve">, though mild </w:t>
      </w:r>
      <w:proofErr w:type="spellStart"/>
      <w:r w:rsidRPr="00071624">
        <w:rPr>
          <w:sz w:val="24"/>
          <w:szCs w:val="24"/>
        </w:rPr>
        <w:t>hepatocellular</w:t>
      </w:r>
      <w:proofErr w:type="spellEnd"/>
      <w:r w:rsidRPr="00071624">
        <w:rPr>
          <w:sz w:val="24"/>
          <w:szCs w:val="24"/>
        </w:rPr>
        <w:t xml:space="preserve"> atrophy and </w:t>
      </w:r>
      <w:proofErr w:type="spellStart"/>
      <w:r w:rsidRPr="00071624">
        <w:rPr>
          <w:sz w:val="24"/>
          <w:szCs w:val="24"/>
        </w:rPr>
        <w:t>enterocyte</w:t>
      </w:r>
      <w:proofErr w:type="spellEnd"/>
      <w:r w:rsidRPr="00071624">
        <w:rPr>
          <w:sz w:val="24"/>
          <w:szCs w:val="24"/>
        </w:rPr>
        <w:t xml:space="preserve"> degeneration were observed at 30% inclusion in the soaked groups. Gut </w:t>
      </w:r>
      <w:proofErr w:type="spellStart"/>
      <w:r w:rsidRPr="00071624">
        <w:rPr>
          <w:sz w:val="24"/>
          <w:szCs w:val="24"/>
        </w:rPr>
        <w:t>histomorphometry</w:t>
      </w:r>
      <w:proofErr w:type="spellEnd"/>
      <w:r w:rsidRPr="00071624">
        <w:rPr>
          <w:sz w:val="24"/>
          <w:szCs w:val="24"/>
        </w:rPr>
        <w:t xml:space="preserve"> supported better nutrient absorption in the fermented groups, as evidenced by higher </w:t>
      </w:r>
      <w:proofErr w:type="spellStart"/>
      <w:r w:rsidRPr="00071624">
        <w:rPr>
          <w:sz w:val="24"/>
          <w:szCs w:val="24"/>
        </w:rPr>
        <w:t>villi</w:t>
      </w:r>
      <w:proofErr w:type="spellEnd"/>
      <w:r w:rsidRPr="00071624">
        <w:rPr>
          <w:sz w:val="24"/>
          <w:szCs w:val="24"/>
        </w:rPr>
        <w:t xml:space="preserve"> height and crypt depth. In conclusion, </w:t>
      </w:r>
      <w:r w:rsidRPr="00071624">
        <w:rPr>
          <w:i/>
          <w:iCs/>
          <w:sz w:val="24"/>
          <w:szCs w:val="24"/>
        </w:rPr>
        <w:t xml:space="preserve">E. </w:t>
      </w:r>
      <w:proofErr w:type="spellStart"/>
      <w:r w:rsidRPr="00071624">
        <w:rPr>
          <w:i/>
          <w:iCs/>
          <w:sz w:val="24"/>
          <w:szCs w:val="24"/>
        </w:rPr>
        <w:t>cyclocarpum</w:t>
      </w:r>
      <w:proofErr w:type="spellEnd"/>
      <w:r w:rsidRPr="00071624">
        <w:rPr>
          <w:sz w:val="24"/>
          <w:szCs w:val="24"/>
        </w:rPr>
        <w:t xml:space="preserve"> leaf meal, particularly when fermented, can replace soybean meal in </w:t>
      </w:r>
      <w:r w:rsidRPr="00071624">
        <w:rPr>
          <w:i/>
          <w:iCs/>
          <w:sz w:val="24"/>
          <w:szCs w:val="24"/>
        </w:rPr>
        <w:t xml:space="preserve">C. </w:t>
      </w:r>
      <w:proofErr w:type="spellStart"/>
      <w:r w:rsidRPr="00071624">
        <w:rPr>
          <w:i/>
          <w:iCs/>
          <w:sz w:val="24"/>
          <w:szCs w:val="24"/>
        </w:rPr>
        <w:t>gariepinus</w:t>
      </w:r>
      <w:proofErr w:type="spellEnd"/>
      <w:r w:rsidRPr="00071624">
        <w:rPr>
          <w:sz w:val="24"/>
          <w:szCs w:val="24"/>
        </w:rPr>
        <w:t xml:space="preserve"> diets at levels up to 30% without compromising growth or health. </w:t>
      </w:r>
    </w:p>
    <w:p w:rsidR="005F20C0" w:rsidRDefault="005F20C0"/>
    <w:sectPr w:rsidR="005F20C0" w:rsidSect="005F20C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176A9B"/>
    <w:rsid w:val="00176A9B"/>
    <w:rsid w:val="005F20C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176A9B"/>
    <w:pPr>
      <w:widowControl w:val="0"/>
      <w:autoSpaceDE w:val="0"/>
      <w:autoSpaceDN w:val="0"/>
      <w:spacing w:after="0" w:line="240" w:lineRule="auto"/>
    </w:pPr>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536</Words>
  <Characters>3060</Characters>
  <Application>Microsoft Office Word</Application>
  <DocSecurity>0</DocSecurity>
  <Lines>25</Lines>
  <Paragraphs>7</Paragraphs>
  <ScaleCrop>false</ScaleCrop>
  <Company/>
  <LinksUpToDate>false</LinksUpToDate>
  <CharactersWithSpaces>3589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2025-12-16T13:04:00Z</dcterms:created>
  <dcterms:modified xsi:type="dcterms:W3CDTF">2025-12-16T13:04:00Z</dcterms:modified>
</cp:coreProperties>
</file>