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6A0" w:rsidRDefault="009F36A0" w:rsidP="009F36A0">
      <w:pPr>
        <w:spacing w:after="20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RESPONSE OF GUINEA FOWL TO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IN OVO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ADMINISTRATION OF VITAMIN B9 (FOLIC ACID) ON DIFFERENT DAYS OF EMBRYONIC DEVELOPMENT</w:t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36A0" w:rsidRDefault="009F36A0" w:rsidP="009F36A0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9F36A0" w:rsidRDefault="009F36A0" w:rsidP="009F36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9F36A0" w:rsidRDefault="009F36A0" w:rsidP="009F36A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36A0" w:rsidRDefault="009F36A0" w:rsidP="009F36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OLALEYE, DOLAPO ESTHER</w:t>
      </w:r>
    </w:p>
    <w:p w:rsidR="009F36A0" w:rsidRDefault="009F36A0" w:rsidP="009F36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PG 21/3016</w:t>
      </w:r>
    </w:p>
    <w:p w:rsidR="009F36A0" w:rsidRDefault="009F36A0" w:rsidP="009F36A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B.Agric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(ABEOKUTA)</w:t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A dissertation submitted to the Department of </w:t>
      </w:r>
      <w:r>
        <w:rPr>
          <w:rFonts w:ascii="Times New Roman" w:hAnsi="Times New Roman" w:cs="Times New Roman"/>
          <w:b/>
          <w:sz w:val="24"/>
          <w:szCs w:val="24"/>
        </w:rPr>
        <w:t>Livestock Science and Sustainable</w:t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Environment </w:t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>Centre of Excellence in Agricultural Development and Sustainable Environment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, </w:t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>Federal University of Agriculture, Abeokuta,</w:t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lang w:val="en-GB"/>
        </w:rPr>
        <w:t>in</w:t>
      </w:r>
      <w:proofErr w:type="gramEnd"/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partial fulfilment of the requirement for the award of Degree of Master in Non-</w:t>
      </w:r>
      <w:r>
        <w:rPr>
          <w:rFonts w:ascii="Times New Roman" w:hAnsi="Times New Roman"/>
          <w:b/>
          <w:bCs/>
          <w:sz w:val="24"/>
          <w:szCs w:val="24"/>
        </w:rPr>
        <w:t>r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en-GB"/>
        </w:rPr>
        <w:t>uminant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Production</w:t>
      </w:r>
    </w:p>
    <w:p w:rsidR="009F36A0" w:rsidRDefault="009F36A0" w:rsidP="009F36A0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</w:p>
    <w:p w:rsidR="009F36A0" w:rsidRDefault="009F36A0" w:rsidP="009F36A0">
      <w:pPr>
        <w:spacing w:line="480" w:lineRule="auto"/>
        <w:jc w:val="right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>JULY, 2025</w:t>
      </w:r>
    </w:p>
    <w:p w:rsidR="009F36A0" w:rsidRDefault="009F36A0" w:rsidP="009F36A0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ABSTRACT</w:t>
      </w:r>
    </w:p>
    <w:p w:rsidR="009F36A0" w:rsidRPr="00CF5D1D" w:rsidRDefault="009F36A0" w:rsidP="009F36A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growing interest in guinea fowl as a hardy and economically valuable poultry specie informed the search for alternatives to enhance its growth performance. This study investigated the effect of </w:t>
      </w:r>
      <w:r w:rsidRPr="00686ED3">
        <w:rPr>
          <w:rFonts w:ascii="Times New Roman" w:hAnsi="Times New Roman" w:cs="Times New Roman"/>
          <w:i/>
          <w:iCs/>
          <w:sz w:val="24"/>
          <w:szCs w:val="24"/>
        </w:rPr>
        <w:t xml:space="preserve">in </w:t>
      </w:r>
      <w:proofErr w:type="spellStart"/>
      <w:r w:rsidRPr="00686ED3">
        <w:rPr>
          <w:rFonts w:ascii="Times New Roman" w:hAnsi="Times New Roman" w:cs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injection of Vitamin B9 at different days (21, 23 and 25) of embryonic development on guinea fowl’s hatching traits, post-hatch growth performance, blood profile, intestinal morphology, and carcass characteristics. A total of 180 hatching eggs of helmeted guinea fowl were incubated for 28 days. After candling on day 12, only 112 eggs were </w:t>
      </w:r>
      <w:proofErr w:type="spellStart"/>
      <w:r>
        <w:rPr>
          <w:rFonts w:ascii="Times New Roman" w:hAnsi="Times New Roman" w:cs="Times New Roman"/>
          <w:sz w:val="24"/>
          <w:szCs w:val="24"/>
        </w:rPr>
        <w:t>fertileand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were randomly allotted to four groups: the control group (non-injected group), </w:t>
      </w:r>
      <w:r w:rsidRPr="00686ED3">
        <w:rPr>
          <w:rFonts w:ascii="Times New Roman" w:hAnsi="Times New Roman" w:cs="Times New Roman"/>
          <w:i/>
          <w:iCs/>
          <w:sz w:val="24"/>
          <w:szCs w:val="24"/>
        </w:rPr>
        <w:t xml:space="preserve">in </w:t>
      </w:r>
      <w:proofErr w:type="spellStart"/>
      <w:r w:rsidRPr="00686ED3">
        <w:rPr>
          <w:rFonts w:ascii="Times New Roman" w:hAnsi="Times New Roman" w:cs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 (injected with 0.05ml of folic acid per egg on day 21), </w:t>
      </w:r>
      <w:r w:rsidRPr="00686ED3">
        <w:rPr>
          <w:rFonts w:ascii="Times New Roman" w:hAnsi="Times New Roman" w:cs="Times New Roman"/>
          <w:i/>
          <w:iCs/>
          <w:sz w:val="24"/>
          <w:szCs w:val="24"/>
        </w:rPr>
        <w:t xml:space="preserve">in </w:t>
      </w:r>
      <w:proofErr w:type="spellStart"/>
      <w:r w:rsidRPr="00686ED3">
        <w:rPr>
          <w:rFonts w:ascii="Times New Roman" w:hAnsi="Times New Roman" w:cs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 (injected with 0.05ml of folic acid per egg on day 23) and </w:t>
      </w:r>
      <w:r w:rsidRPr="00686ED3">
        <w:rPr>
          <w:rFonts w:ascii="Times New Roman" w:hAnsi="Times New Roman" w:cs="Times New Roman"/>
          <w:i/>
          <w:iCs/>
          <w:sz w:val="24"/>
          <w:szCs w:val="24"/>
        </w:rPr>
        <w:t xml:space="preserve">in </w:t>
      </w:r>
      <w:proofErr w:type="spellStart"/>
      <w:r w:rsidRPr="00686ED3">
        <w:rPr>
          <w:rFonts w:ascii="Times New Roman" w:hAnsi="Times New Roman" w:cs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 (injected with 0.05ml of folic acid per egg on day 25). Hatching traits were assessed on day 0. Afterwards, body weight and feed intake were evaluated weekly. </w:t>
      </w:r>
      <w:proofErr w:type="gramStart"/>
      <w:r>
        <w:rPr>
          <w:rFonts w:ascii="Times New Roman" w:hAnsi="Times New Roman" w:cs="Times New Roman"/>
          <w:sz w:val="24"/>
          <w:szCs w:val="24"/>
        </w:rPr>
        <w:t>Two birds/replicate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were slaughtered and assessed for lymphoid organs</w:t>
      </w:r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and intestinal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morphometry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for b</w:t>
      </w:r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lood 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profile, </w:t>
      </w:r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samples were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</w:t>
      </w:r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collected for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haematological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parameters, serum biochemical indices</w:t>
      </w:r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and anti-oxidant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status (Superoxide dismutase-SOD,</w:t>
      </w:r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</w:t>
      </w:r>
      <w:proofErr w:type="spellStart"/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Malondialdehyde</w:t>
      </w:r>
      <w:proofErr w:type="spellEnd"/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-MDA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, Glutathione-GSH and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Catalase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glutathione-CAT</w:t>
      </w:r>
      <w:r w:rsidRPr="00283A7A"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) analysis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on day 7 and 70. Data collected were subjected to One-way Analysis of Variance. The control group had the highest hatchability percentage (94.40%) followed by hatching eggs from in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ovo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1 group (72.20%). The egg weight, chick weight and chick to egg ratio were not significantly (p&gt;0.05) affected by the days of injection. The Packed Cell Volume (PCV) and Hemoglobin (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Hb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) level of the guinea fowl were significantly (p&lt;0.05) influenced at day 7 of age. Non-injected group for both PCV (41 %) and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Hb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(13.70 g/dl) had significantly (p &lt; 0.05) higher values than all injected groups while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keets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from in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ovo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5 had significantly lowest value of PCV (31 %) and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Hb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(10.67 g/dl).The blood antioxidant status on days 23 and 25 had significantly (p&lt;0.05) highest concentration of MDA </w:t>
      </w:r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lastRenderedPageBreak/>
        <w:t xml:space="preserve">while SOD and CAT were significantly (p &lt; 0.05) highest in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keets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from in </w:t>
      </w:r>
      <w:proofErr w:type="spellStart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>ovo</w:t>
      </w:r>
      <w:proofErr w:type="spellEnd"/>
      <w:r>
        <w:rPr>
          <w:rFonts w:ascii="Times New Roman" w:hAnsi="Times New Roman" w:cs="Times New Roman"/>
          <w:color w:val="1B1B1B"/>
          <w:sz w:val="24"/>
          <w:szCs w:val="24"/>
          <w:shd w:val="clear" w:color="auto" w:fill="FFFFFF"/>
        </w:rPr>
        <w:t xml:space="preserve"> 1 eggs. </w:t>
      </w:r>
      <w:r w:rsidRPr="001F2EE2">
        <w:rPr>
          <w:rFonts w:ascii="Times New Roman" w:hAnsi="Times New Roman" w:cs="Times New Roman"/>
          <w:sz w:val="24"/>
          <w:szCs w:val="24"/>
        </w:rPr>
        <w:t xml:space="preserve">Duodenal </w:t>
      </w:r>
      <w:proofErr w:type="spellStart"/>
      <w:r w:rsidRPr="001F2EE2">
        <w:rPr>
          <w:rFonts w:ascii="Times New Roman" w:hAnsi="Times New Roman" w:cs="Times New Roman"/>
          <w:sz w:val="24"/>
          <w:szCs w:val="24"/>
        </w:rPr>
        <w:t>histomorphometry</w:t>
      </w:r>
      <w:proofErr w:type="spellEnd"/>
      <w:r w:rsidRPr="001F2EE2">
        <w:rPr>
          <w:rFonts w:ascii="Times New Roman" w:hAnsi="Times New Roman" w:cs="Times New Roman"/>
          <w:sz w:val="24"/>
          <w:szCs w:val="24"/>
        </w:rPr>
        <w:t xml:space="preserve"> at hatch </w:t>
      </w:r>
      <w:r>
        <w:rPr>
          <w:rFonts w:ascii="Times New Roman" w:hAnsi="Times New Roman" w:cs="Times New Roman"/>
          <w:sz w:val="24"/>
          <w:szCs w:val="24"/>
        </w:rPr>
        <w:t>was</w:t>
      </w:r>
      <w:r w:rsidRPr="001F2EE2">
        <w:rPr>
          <w:rFonts w:ascii="Times New Roman" w:hAnsi="Times New Roman" w:cs="Times New Roman"/>
          <w:sz w:val="24"/>
          <w:szCs w:val="24"/>
        </w:rPr>
        <w:t xml:space="preserve"> significant</w:t>
      </w:r>
      <w:r>
        <w:rPr>
          <w:rFonts w:ascii="Times New Roman" w:hAnsi="Times New Roman" w:cs="Times New Roman"/>
          <w:sz w:val="24"/>
          <w:szCs w:val="24"/>
        </w:rPr>
        <w:t>ly</w:t>
      </w:r>
      <w:r w:rsidRPr="001F2EE2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Style w:val="Emphasis"/>
          <w:rFonts w:ascii="Times New Roman" w:hAnsi="Times New Roman" w:cs="Times New Roman"/>
          <w:sz w:val="24"/>
          <w:szCs w:val="24"/>
        </w:rPr>
        <w:t>p</w:t>
      </w:r>
      <w:r w:rsidRPr="00035278">
        <w:rPr>
          <w:rFonts w:ascii="Times New Roman" w:hAnsi="Times New Roman" w:cs="Times New Roman"/>
          <w:i/>
          <w:iCs/>
          <w:sz w:val="24"/>
          <w:szCs w:val="24"/>
        </w:rPr>
        <w:t>&lt;</w:t>
      </w:r>
      <w:r w:rsidRPr="00035278">
        <w:rPr>
          <w:rFonts w:ascii="Times New Roman" w:hAnsi="Times New Roman" w:cs="Times New Roman"/>
          <w:sz w:val="24"/>
          <w:szCs w:val="24"/>
        </w:rPr>
        <w:t>0.05</w:t>
      </w:r>
      <w:r w:rsidRPr="001F2EE2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influenced by</w:t>
      </w:r>
      <w:r w:rsidRPr="001F2EE2">
        <w:rPr>
          <w:rFonts w:ascii="Times New Roman" w:hAnsi="Times New Roman" w:cs="Times New Roman"/>
          <w:sz w:val="24"/>
          <w:szCs w:val="24"/>
        </w:rPr>
        <w:t xml:space="preserve"> treatment. </w:t>
      </w:r>
      <w:proofErr w:type="spellStart"/>
      <w:r w:rsidRPr="001F2EE2">
        <w:rPr>
          <w:rFonts w:ascii="Times New Roman" w:hAnsi="Times New Roman" w:cs="Times New Roman"/>
          <w:sz w:val="24"/>
          <w:szCs w:val="24"/>
        </w:rPr>
        <w:t>Villus</w:t>
      </w:r>
      <w:proofErr w:type="spellEnd"/>
      <w:r w:rsidRPr="001F2EE2">
        <w:rPr>
          <w:rFonts w:ascii="Times New Roman" w:hAnsi="Times New Roman" w:cs="Times New Roman"/>
          <w:sz w:val="24"/>
          <w:szCs w:val="24"/>
        </w:rPr>
        <w:t xml:space="preserve"> height was highest in </w:t>
      </w:r>
      <w:proofErr w:type="spellStart"/>
      <w:r>
        <w:rPr>
          <w:rFonts w:ascii="Times New Roman" w:hAnsi="Times New Roman" w:cs="Times New Roman"/>
          <w:sz w:val="24"/>
          <w:szCs w:val="24"/>
        </w:rPr>
        <w:t>keets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from eggs</w:t>
      </w:r>
      <w:r w:rsidRPr="001F2EE2">
        <w:rPr>
          <w:rFonts w:ascii="Times New Roman" w:hAnsi="Times New Roman" w:cs="Times New Roman"/>
          <w:sz w:val="24"/>
          <w:szCs w:val="24"/>
        </w:rPr>
        <w:t xml:space="preserve"> injected on day</w:t>
      </w:r>
      <w:r>
        <w:rPr>
          <w:rFonts w:ascii="Times New Roman" w:hAnsi="Times New Roman" w:cs="Times New Roman"/>
          <w:sz w:val="24"/>
          <w:szCs w:val="24"/>
        </w:rPr>
        <w:t xml:space="preserve">s 21 (1.47 µm) and in </w:t>
      </w:r>
      <w:proofErr w:type="spellStart"/>
      <w:r>
        <w:rPr>
          <w:rFonts w:ascii="Times New Roman" w:hAnsi="Times New Roman" w:cs="Times New Roman"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EE2">
        <w:rPr>
          <w:rFonts w:ascii="Times New Roman" w:hAnsi="Times New Roman" w:cs="Times New Roman"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 xml:space="preserve">eggs </w:t>
      </w:r>
      <w:r w:rsidRPr="001F2EE2">
        <w:rPr>
          <w:rFonts w:ascii="Times New Roman" w:hAnsi="Times New Roman" w:cs="Times New Roman"/>
          <w:sz w:val="24"/>
          <w:szCs w:val="24"/>
        </w:rPr>
        <w:t>(1.45 µm)</w:t>
      </w:r>
      <w:r>
        <w:rPr>
          <w:rFonts w:ascii="Times New Roman" w:hAnsi="Times New Roman" w:cs="Times New Roman"/>
          <w:sz w:val="24"/>
          <w:szCs w:val="24"/>
        </w:rPr>
        <w:t xml:space="preserve">. In addition, the proportions of jejunum and ileum were highest (p&lt;0.05) at day 7 in </w:t>
      </w:r>
      <w:proofErr w:type="spellStart"/>
      <w:r>
        <w:rPr>
          <w:rFonts w:ascii="Times New Roman" w:hAnsi="Times New Roman" w:cs="Times New Roman"/>
          <w:sz w:val="24"/>
          <w:szCs w:val="24"/>
        </w:rPr>
        <w:t>keets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from in </w:t>
      </w:r>
      <w:proofErr w:type="spellStart"/>
      <w:r>
        <w:rPr>
          <w:rFonts w:ascii="Times New Roman" w:hAnsi="Times New Roman" w:cs="Times New Roman"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3.</w:t>
      </w:r>
      <w:r w:rsidRPr="001F2EE2">
        <w:rPr>
          <w:rFonts w:ascii="Times New Roman" w:hAnsi="Times New Roman" w:cs="Times New Roman"/>
          <w:sz w:val="24"/>
          <w:szCs w:val="24"/>
        </w:rPr>
        <w:t xml:space="preserve"> The</w:t>
      </w:r>
      <w:r>
        <w:rPr>
          <w:rFonts w:ascii="Times New Roman" w:hAnsi="Times New Roman" w:cs="Times New Roman"/>
          <w:sz w:val="24"/>
          <w:szCs w:val="24"/>
        </w:rPr>
        <w:t xml:space="preserve"> study concluded </w:t>
      </w:r>
      <w:r w:rsidRPr="001F2EE2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for an enhanced growth performance and gut development in guinea fowl, </w:t>
      </w:r>
      <w:r w:rsidRPr="00686ED3">
        <w:rPr>
          <w:rFonts w:ascii="Times New Roman" w:hAnsi="Times New Roman" w:cs="Times New Roman"/>
          <w:i/>
          <w:iCs/>
          <w:sz w:val="24"/>
          <w:szCs w:val="24"/>
        </w:rPr>
        <w:t xml:space="preserve">in </w:t>
      </w:r>
      <w:proofErr w:type="spellStart"/>
      <w:r w:rsidRPr="00686ED3">
        <w:rPr>
          <w:rFonts w:ascii="Times New Roman" w:hAnsi="Times New Roman" w:cs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injection of 0.05ml folic acid (</w:t>
      </w:r>
      <w:r w:rsidRPr="001F2EE2">
        <w:rPr>
          <w:rFonts w:ascii="Times New Roman" w:hAnsi="Times New Roman" w:cs="Times New Roman"/>
          <w:sz w:val="24"/>
          <w:szCs w:val="24"/>
        </w:rPr>
        <w:t>vitamin B9</w:t>
      </w:r>
      <w:r>
        <w:rPr>
          <w:rFonts w:ascii="Times New Roman" w:hAnsi="Times New Roman" w:cs="Times New Roman"/>
          <w:sz w:val="24"/>
          <w:szCs w:val="24"/>
        </w:rPr>
        <w:t>) in their fertile eggs on either day 21 or day 25 of embryonic development showed better effect.</w:t>
      </w:r>
    </w:p>
    <w:p w:rsidR="005F20C0" w:rsidRDefault="005F20C0"/>
    <w:sectPr w:rsidR="005F20C0" w:rsidSect="005F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9F36A0"/>
    <w:rsid w:val="005F20C0"/>
    <w:rsid w:val="009F36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6A0"/>
    <w:pPr>
      <w:spacing w:after="160"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9F36A0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477</Words>
  <Characters>2722</Characters>
  <Application>Microsoft Office Word</Application>
  <DocSecurity>0</DocSecurity>
  <Lines>22</Lines>
  <Paragraphs>6</Paragraphs>
  <ScaleCrop>false</ScaleCrop>
  <Company/>
  <LinksUpToDate>false</LinksUpToDate>
  <CharactersWithSpaces>3193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2025-12-16T13:10:00Z</dcterms:created>
  <dcterms:modified xsi:type="dcterms:W3CDTF">2025-12-16T13:10:00Z</dcterms:modified>
</cp:coreProperties>
</file>