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2962" w:rsidRPr="002C56D1" w:rsidRDefault="00642962" w:rsidP="0064296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42962" w:rsidRPr="002C56D1" w:rsidRDefault="00642962" w:rsidP="0064296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42962" w:rsidRPr="002C56D1" w:rsidRDefault="00642962" w:rsidP="0064296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42962" w:rsidRPr="002C56D1" w:rsidRDefault="00642962" w:rsidP="0064296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42962" w:rsidRPr="002C56D1" w:rsidRDefault="00642962" w:rsidP="006429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 NOVEL</w:t>
      </w:r>
      <w:r w:rsidRPr="002C56D1">
        <w:rPr>
          <w:rFonts w:ascii="Times New Roman" w:hAnsi="Times New Roman" w:cs="Times New Roman"/>
          <w:b/>
          <w:bCs/>
          <w:sz w:val="24"/>
          <w:szCs w:val="24"/>
        </w:rPr>
        <w:t xml:space="preserve"> GLUCOSE BIOSENSOR BASED ON SILVER NANOPARTICLE (AgNP) STABILIZED WITH SODIUM TRIPOLYPHOSPHATE (</w:t>
      </w:r>
      <w:r>
        <w:rPr>
          <w:rFonts w:ascii="Times New Roman" w:hAnsi="Times New Roman" w:cs="Times New Roman"/>
          <w:b/>
          <w:bCs/>
          <w:sz w:val="24"/>
          <w:szCs w:val="24"/>
        </w:rPr>
        <w:t>NaTPP) CROSS-LINKED CHITOSAN: DIRECT ELECTRON TRANSFER AND ELECTROCATALYTIC ACTIVITY</w:t>
      </w:r>
    </w:p>
    <w:p w:rsidR="00642962" w:rsidRPr="0064624D" w:rsidRDefault="00642962" w:rsidP="00642962">
      <w:pPr>
        <w:tabs>
          <w:tab w:val="left" w:pos="6082"/>
        </w:tabs>
        <w:spacing w:line="240" w:lineRule="auto"/>
        <w:rPr>
          <w:rFonts w:ascii="Times New Roman" w:hAnsi="Times New Roman"/>
          <w:b/>
          <w:sz w:val="24"/>
          <w:szCs w:val="24"/>
        </w:rPr>
      </w:pPr>
      <w:r w:rsidRPr="0064624D">
        <w:rPr>
          <w:rFonts w:ascii="Times New Roman" w:hAnsi="Times New Roman"/>
          <w:b/>
          <w:sz w:val="24"/>
          <w:szCs w:val="24"/>
        </w:rPr>
        <w:tab/>
      </w:r>
    </w:p>
    <w:p w:rsidR="00642962" w:rsidRPr="0064624D" w:rsidRDefault="00642962" w:rsidP="00642962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642962" w:rsidRPr="0064624D" w:rsidRDefault="00642962" w:rsidP="00642962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642962" w:rsidRPr="0064624D" w:rsidRDefault="00642962" w:rsidP="00642962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4624D">
        <w:rPr>
          <w:rFonts w:ascii="Times New Roman" w:hAnsi="Times New Roman"/>
          <w:b/>
          <w:sz w:val="24"/>
          <w:szCs w:val="24"/>
        </w:rPr>
        <w:t>By</w:t>
      </w:r>
    </w:p>
    <w:p w:rsidR="00642962" w:rsidRPr="0064624D" w:rsidRDefault="00642962" w:rsidP="00642962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4624D">
        <w:rPr>
          <w:rFonts w:ascii="Times New Roman" w:hAnsi="Times New Roman"/>
          <w:b/>
          <w:sz w:val="24"/>
          <w:szCs w:val="24"/>
        </w:rPr>
        <w:t>BAMIGBADE, Akeem Adesina (PG08/0115)</w:t>
      </w:r>
    </w:p>
    <w:p w:rsidR="00642962" w:rsidRPr="0064624D" w:rsidRDefault="00642962" w:rsidP="00642962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4624D">
        <w:rPr>
          <w:rFonts w:ascii="Times New Roman" w:hAnsi="Times New Roman"/>
          <w:b/>
          <w:sz w:val="24"/>
          <w:szCs w:val="24"/>
        </w:rPr>
        <w:t>B.Sc., M.Sc. (Abeokuta)</w:t>
      </w:r>
    </w:p>
    <w:p w:rsidR="00642962" w:rsidRPr="0064624D" w:rsidRDefault="00642962" w:rsidP="00642962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642962" w:rsidRPr="0064624D" w:rsidRDefault="00642962" w:rsidP="00642962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642962" w:rsidRPr="0064624D" w:rsidRDefault="00642962" w:rsidP="00642962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642962" w:rsidRPr="0064624D" w:rsidRDefault="00642962" w:rsidP="00642962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642962" w:rsidRPr="0064624D" w:rsidRDefault="00642962" w:rsidP="00642962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642962" w:rsidRPr="0064624D" w:rsidRDefault="00642962" w:rsidP="0064296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4624D">
        <w:rPr>
          <w:rFonts w:ascii="Times New Roman" w:hAnsi="Times New Roman"/>
          <w:b/>
          <w:sz w:val="24"/>
          <w:szCs w:val="24"/>
        </w:rPr>
        <w:t>A Thesis Submitted to the Department of Chemistry, College</w:t>
      </w:r>
    </w:p>
    <w:p w:rsidR="00642962" w:rsidRPr="0064624D" w:rsidRDefault="00642962" w:rsidP="0064296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4624D">
        <w:rPr>
          <w:rFonts w:ascii="Times New Roman" w:hAnsi="Times New Roman"/>
          <w:b/>
          <w:sz w:val="24"/>
          <w:szCs w:val="24"/>
        </w:rPr>
        <w:t>of Physical Sciences, Federal University of Agriculture, Abeokuta, Nigeria,</w:t>
      </w:r>
    </w:p>
    <w:p w:rsidR="00642962" w:rsidRPr="0064624D" w:rsidRDefault="00642962" w:rsidP="0064296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4624D">
        <w:rPr>
          <w:rFonts w:ascii="Times New Roman" w:hAnsi="Times New Roman"/>
          <w:b/>
          <w:sz w:val="24"/>
          <w:szCs w:val="24"/>
        </w:rPr>
        <w:t>in Partial Fulfilment of the Requirements for the Award of the Doctorate Degree of Philosophy (PhD) in Physical Chemistry.</w:t>
      </w:r>
    </w:p>
    <w:p w:rsidR="00642962" w:rsidRPr="0064624D" w:rsidRDefault="00642962" w:rsidP="00642962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642962" w:rsidRPr="0064624D" w:rsidRDefault="00642962" w:rsidP="00642962">
      <w:pPr>
        <w:spacing w:line="240" w:lineRule="auto"/>
        <w:ind w:left="2880" w:firstLine="720"/>
        <w:jc w:val="center"/>
        <w:rPr>
          <w:rFonts w:ascii="Times New Roman" w:hAnsi="Times New Roman"/>
          <w:b/>
          <w:sz w:val="24"/>
          <w:szCs w:val="24"/>
        </w:rPr>
      </w:pPr>
    </w:p>
    <w:p w:rsidR="00642962" w:rsidRPr="0064624D" w:rsidRDefault="00642962" w:rsidP="00642962">
      <w:pPr>
        <w:spacing w:line="240" w:lineRule="auto"/>
        <w:ind w:left="2880" w:firstLine="720"/>
        <w:jc w:val="center"/>
        <w:rPr>
          <w:rFonts w:ascii="Times New Roman" w:hAnsi="Times New Roman"/>
          <w:b/>
          <w:sz w:val="24"/>
          <w:szCs w:val="24"/>
        </w:rPr>
      </w:pPr>
    </w:p>
    <w:p w:rsidR="00642962" w:rsidRPr="0064624D" w:rsidRDefault="00642962" w:rsidP="00642962">
      <w:pPr>
        <w:spacing w:line="240" w:lineRule="auto"/>
        <w:ind w:left="2880" w:firstLine="720"/>
        <w:jc w:val="center"/>
        <w:rPr>
          <w:rFonts w:ascii="Times New Roman" w:hAnsi="Times New Roman"/>
          <w:b/>
          <w:sz w:val="24"/>
          <w:szCs w:val="24"/>
        </w:rPr>
      </w:pPr>
    </w:p>
    <w:p w:rsidR="00642962" w:rsidRPr="0064624D" w:rsidRDefault="00642962" w:rsidP="00642962">
      <w:pPr>
        <w:spacing w:line="240" w:lineRule="auto"/>
        <w:ind w:left="2880" w:firstLine="720"/>
        <w:jc w:val="center"/>
        <w:rPr>
          <w:rFonts w:ascii="Times New Roman" w:hAnsi="Times New Roman"/>
          <w:b/>
          <w:sz w:val="24"/>
          <w:szCs w:val="24"/>
        </w:rPr>
      </w:pPr>
    </w:p>
    <w:p w:rsidR="00642962" w:rsidRPr="0064624D" w:rsidRDefault="00642962" w:rsidP="00642962">
      <w:pPr>
        <w:spacing w:line="240" w:lineRule="auto"/>
        <w:ind w:left="2880" w:firstLine="720"/>
        <w:jc w:val="center"/>
        <w:rPr>
          <w:rFonts w:ascii="Times New Roman" w:hAnsi="Times New Roman"/>
          <w:b/>
          <w:sz w:val="24"/>
          <w:szCs w:val="24"/>
        </w:rPr>
      </w:pPr>
    </w:p>
    <w:p w:rsidR="00642962" w:rsidRPr="0064624D" w:rsidRDefault="00642962" w:rsidP="00642962">
      <w:pPr>
        <w:spacing w:line="240" w:lineRule="auto"/>
        <w:ind w:left="4320"/>
        <w:rPr>
          <w:rFonts w:ascii="Times New Roman" w:hAnsi="Times New Roman"/>
          <w:b/>
          <w:sz w:val="24"/>
          <w:szCs w:val="24"/>
        </w:rPr>
      </w:pPr>
    </w:p>
    <w:p w:rsidR="00642962" w:rsidRPr="0064624D" w:rsidRDefault="00642962" w:rsidP="00642962">
      <w:pPr>
        <w:spacing w:line="240" w:lineRule="auto"/>
        <w:ind w:left="4320"/>
        <w:rPr>
          <w:rFonts w:ascii="Times New Roman" w:hAnsi="Times New Roman"/>
          <w:b/>
          <w:sz w:val="24"/>
          <w:szCs w:val="24"/>
        </w:rPr>
      </w:pPr>
    </w:p>
    <w:p w:rsidR="00642962" w:rsidRPr="0064624D" w:rsidRDefault="00642962" w:rsidP="00642962">
      <w:pPr>
        <w:spacing w:line="240" w:lineRule="auto"/>
        <w:ind w:left="4320"/>
        <w:rPr>
          <w:rFonts w:ascii="Times New Roman" w:hAnsi="Times New Roman"/>
          <w:b/>
          <w:sz w:val="24"/>
          <w:szCs w:val="24"/>
        </w:rPr>
      </w:pPr>
    </w:p>
    <w:p w:rsidR="00642962" w:rsidRPr="0064624D" w:rsidRDefault="00642962" w:rsidP="00642962">
      <w:pPr>
        <w:spacing w:line="240" w:lineRule="auto"/>
        <w:ind w:left="4320"/>
        <w:rPr>
          <w:rFonts w:ascii="Times New Roman" w:hAnsi="Times New Roman"/>
          <w:b/>
          <w:sz w:val="24"/>
          <w:szCs w:val="24"/>
        </w:rPr>
      </w:pPr>
    </w:p>
    <w:p w:rsidR="00642962" w:rsidRPr="0064624D" w:rsidRDefault="00642962" w:rsidP="00642962">
      <w:pPr>
        <w:spacing w:line="240" w:lineRule="auto"/>
        <w:ind w:left="3600"/>
        <w:jc w:val="both"/>
        <w:rPr>
          <w:rFonts w:ascii="Times New Roman" w:hAnsi="Times New Roman"/>
          <w:b/>
          <w:sz w:val="24"/>
          <w:szCs w:val="24"/>
        </w:rPr>
      </w:pPr>
      <w:r w:rsidRPr="0064624D">
        <w:rPr>
          <w:rFonts w:ascii="Times New Roman" w:hAnsi="Times New Roman"/>
          <w:b/>
          <w:sz w:val="24"/>
          <w:szCs w:val="24"/>
        </w:rPr>
        <w:t xml:space="preserve">        </w:t>
      </w:r>
      <w:r>
        <w:rPr>
          <w:rFonts w:ascii="Times New Roman" w:hAnsi="Times New Roman"/>
          <w:b/>
          <w:sz w:val="24"/>
          <w:szCs w:val="24"/>
        </w:rPr>
        <w:t>Sptember</w:t>
      </w:r>
      <w:r w:rsidRPr="0064624D">
        <w:rPr>
          <w:rFonts w:ascii="Times New Roman" w:hAnsi="Times New Roman"/>
          <w:b/>
          <w:sz w:val="24"/>
          <w:szCs w:val="24"/>
        </w:rPr>
        <w:t>, 2024</w:t>
      </w:r>
    </w:p>
    <w:p w:rsidR="00642962" w:rsidRPr="0064624D" w:rsidRDefault="00642962" w:rsidP="00571C72">
      <w:pPr>
        <w:jc w:val="center"/>
        <w:rPr>
          <w:rFonts w:ascii="Times New Roman" w:hAnsi="Times New Roman"/>
          <w:b/>
          <w:sz w:val="24"/>
          <w:szCs w:val="24"/>
        </w:rPr>
      </w:pPr>
      <w:r w:rsidRPr="0064624D">
        <w:rPr>
          <w:rFonts w:ascii="Times New Roman" w:hAnsi="Times New Roman"/>
          <w:b/>
          <w:sz w:val="24"/>
          <w:szCs w:val="24"/>
        </w:rPr>
        <w:br w:type="page"/>
      </w:r>
    </w:p>
    <w:p w:rsidR="00642962" w:rsidRPr="0064624D" w:rsidRDefault="00642962" w:rsidP="00642962">
      <w:pPr>
        <w:pStyle w:val="ListParagraph"/>
        <w:spacing w:line="360" w:lineRule="auto"/>
        <w:ind w:left="360"/>
        <w:rPr>
          <w:rFonts w:ascii="Times New Roman" w:hAnsi="Times New Roman"/>
          <w:b/>
          <w:sz w:val="24"/>
          <w:szCs w:val="24"/>
        </w:rPr>
      </w:pPr>
      <w:r w:rsidRPr="0064624D">
        <w:rPr>
          <w:rFonts w:ascii="Times New Roman" w:hAnsi="Times New Roman"/>
          <w:b/>
          <w:sz w:val="24"/>
          <w:szCs w:val="24"/>
        </w:rPr>
        <w:lastRenderedPageBreak/>
        <w:t>Abstract</w:t>
      </w:r>
    </w:p>
    <w:p w:rsidR="00642962" w:rsidRPr="0027392F" w:rsidRDefault="00642962" w:rsidP="00642962">
      <w:pPr>
        <w:spacing w:line="480" w:lineRule="auto"/>
        <w:jc w:val="both"/>
        <w:rPr>
          <w:sz w:val="24"/>
          <w:szCs w:val="24"/>
        </w:rPr>
      </w:pPr>
      <w:r w:rsidRPr="0027392F">
        <w:rPr>
          <w:rFonts w:ascii="Times New Roman" w:hAnsi="Times New Roman"/>
          <w:sz w:val="24"/>
          <w:szCs w:val="24"/>
        </w:rPr>
        <w:t xml:space="preserve">The development of non-enzymatic glucose biosensor has </w:t>
      </w:r>
      <w:r>
        <w:rPr>
          <w:rFonts w:ascii="Times New Roman" w:hAnsi="Times New Roman"/>
          <w:sz w:val="24"/>
          <w:szCs w:val="24"/>
        </w:rPr>
        <w:t>been the concern</w:t>
      </w:r>
      <w:r w:rsidRPr="0027392F">
        <w:rPr>
          <w:rFonts w:ascii="Times New Roman" w:hAnsi="Times New Roman"/>
          <w:sz w:val="24"/>
          <w:szCs w:val="24"/>
        </w:rPr>
        <w:t xml:space="preserve"> of </w:t>
      </w:r>
      <w:r>
        <w:rPr>
          <w:rFonts w:ascii="Times New Roman" w:hAnsi="Times New Roman"/>
          <w:sz w:val="24"/>
          <w:szCs w:val="24"/>
        </w:rPr>
        <w:t xml:space="preserve">many </w:t>
      </w:r>
      <w:r w:rsidRPr="0027392F">
        <w:rPr>
          <w:rFonts w:ascii="Times New Roman" w:hAnsi="Times New Roman"/>
          <w:sz w:val="24"/>
          <w:szCs w:val="24"/>
        </w:rPr>
        <w:t>research</w:t>
      </w:r>
      <w:r>
        <w:rPr>
          <w:rFonts w:ascii="Times New Roman" w:hAnsi="Times New Roman"/>
          <w:sz w:val="24"/>
          <w:szCs w:val="24"/>
        </w:rPr>
        <w:t>ers</w:t>
      </w:r>
      <w:r w:rsidRPr="0027392F">
        <w:rPr>
          <w:rFonts w:ascii="Times New Roman" w:hAnsi="Times New Roman"/>
          <w:sz w:val="24"/>
          <w:szCs w:val="24"/>
        </w:rPr>
        <w:t xml:space="preserve"> mainly because </w:t>
      </w:r>
      <w:r w:rsidRPr="0027392F">
        <w:rPr>
          <w:rFonts w:ascii="Times New Roman" w:hAnsi="Times New Roman"/>
          <w:color w:val="000000"/>
          <w:sz w:val="24"/>
          <w:szCs w:val="24"/>
          <w:lang w:val="en-US"/>
        </w:rPr>
        <w:t xml:space="preserve">enzymes based sensor despite having excellent sensitivity and selectivity, has the limitations such as poor stability, </w:t>
      </w:r>
      <w:r w:rsidRPr="0027392F">
        <w:rPr>
          <w:rFonts w:ascii="Times New Roman" w:hAnsi="Times New Roman"/>
          <w:sz w:val="24"/>
          <w:szCs w:val="24"/>
        </w:rPr>
        <w:t>complicated enzyme immobilization, critical operating conditions such as optimum temperature</w:t>
      </w:r>
      <w:r w:rsidRPr="0027392F">
        <w:rPr>
          <w:rFonts w:ascii="Times New Roman" w:hAnsi="Times New Roman"/>
          <w:color w:val="000000"/>
          <w:sz w:val="24"/>
          <w:szCs w:val="24"/>
          <w:lang w:val="en-US"/>
        </w:rPr>
        <w:t xml:space="preserve"> and reproducibility, which hinder the sensor properties</w:t>
      </w:r>
      <w:r w:rsidRPr="0027392F">
        <w:rPr>
          <w:rFonts w:ascii="Times New Roman" w:eastAsia="MinionPro-Regular" w:hAnsi="Times New Roman"/>
          <w:color w:val="000000"/>
          <w:sz w:val="24"/>
          <w:szCs w:val="24"/>
        </w:rPr>
        <w:t xml:space="preserve">. </w:t>
      </w:r>
      <w:r w:rsidRPr="0027392F">
        <w:rPr>
          <w:rFonts w:ascii="Times New Roman" w:hAnsi="Times New Roman"/>
          <w:sz w:val="24"/>
          <w:szCs w:val="24"/>
        </w:rPr>
        <w:t xml:space="preserve">The prevalence of renal problem globally justifies the need for the development of non-enzymatic glucose biosensor that can effectively and accurately detect </w:t>
      </w:r>
      <w:r w:rsidRPr="0027392F">
        <w:rPr>
          <w:rFonts w:ascii="Times New Roman" w:eastAsia="MinionPro-Regular" w:hAnsi="Times New Roman"/>
          <w:sz w:val="24"/>
          <w:szCs w:val="24"/>
        </w:rPr>
        <w:t>glucose in any medium which</w:t>
      </w:r>
      <w:r w:rsidRPr="0027392F">
        <w:rPr>
          <w:rFonts w:ascii="Times New Roman" w:eastAsia="MinionPro-Regular" w:hAnsi="Times New Roman"/>
          <w:sz w:val="24"/>
          <w:szCs w:val="24"/>
          <w:lang w:val="yo-NG"/>
        </w:rPr>
        <w:t xml:space="preserve"> </w:t>
      </w:r>
      <w:r w:rsidRPr="0027392F">
        <w:rPr>
          <w:rFonts w:ascii="Times New Roman" w:eastAsia="MinionPro-Regular" w:hAnsi="Times New Roman"/>
          <w:sz w:val="24"/>
          <w:szCs w:val="24"/>
        </w:rPr>
        <w:t>can be very effective to the detection and treatment of</w:t>
      </w:r>
      <w:r w:rsidRPr="0027392F">
        <w:rPr>
          <w:rFonts w:ascii="Times New Roman" w:eastAsia="MinionPro-Regular" w:hAnsi="Times New Roman"/>
          <w:sz w:val="24"/>
          <w:szCs w:val="24"/>
          <w:lang w:val="yo-NG"/>
        </w:rPr>
        <w:t xml:space="preserve"> </w:t>
      </w:r>
      <w:r w:rsidRPr="0027392F">
        <w:rPr>
          <w:rFonts w:ascii="Times New Roman" w:eastAsia="MinionPro-Regular" w:hAnsi="Times New Roman"/>
          <w:sz w:val="24"/>
          <w:szCs w:val="24"/>
        </w:rPr>
        <w:t>diabetes mellitus.</w:t>
      </w:r>
      <w:r w:rsidRPr="0027392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This study has developed</w:t>
      </w:r>
      <w:r w:rsidRPr="0027392F">
        <w:rPr>
          <w:rFonts w:ascii="Times New Roman" w:hAnsi="Times New Roman"/>
          <w:sz w:val="24"/>
          <w:szCs w:val="24"/>
        </w:rPr>
        <w:t xml:space="preserve"> a biocompatible non-enzymatic glucose biosensor, </w:t>
      </w:r>
      <w:r>
        <w:rPr>
          <w:rFonts w:ascii="Times New Roman" w:hAnsi="Times New Roman"/>
          <w:bCs/>
          <w:sz w:val="24"/>
          <w:szCs w:val="24"/>
        </w:rPr>
        <w:t>D</w:t>
      </w:r>
      <w:r w:rsidRPr="0027392F">
        <w:rPr>
          <w:rFonts w:ascii="Times New Roman" w:hAnsi="Times New Roman"/>
          <w:bCs/>
          <w:sz w:val="24"/>
          <w:szCs w:val="24"/>
        </w:rPr>
        <w:t>irect electron transfer and electro-catalytic activity of non-enzymatic glucose biosensor based on silver nanoparticle (AgNP</w:t>
      </w:r>
      <w:r>
        <w:rPr>
          <w:rFonts w:ascii="Times New Roman" w:hAnsi="Times New Roman"/>
          <w:bCs/>
          <w:sz w:val="24"/>
          <w:szCs w:val="24"/>
        </w:rPr>
        <w:t>s</w:t>
      </w:r>
      <w:r w:rsidRPr="0027392F">
        <w:rPr>
          <w:rFonts w:ascii="Times New Roman" w:hAnsi="Times New Roman"/>
          <w:bCs/>
          <w:sz w:val="24"/>
          <w:szCs w:val="24"/>
        </w:rPr>
        <w:t>) stabilized with sodium tripolyphosphate (NaTPP) cross-linked chitosan</w:t>
      </w:r>
      <w:r w:rsidRPr="0027392F">
        <w:rPr>
          <w:rFonts w:ascii="Times New Roman" w:hAnsi="Times New Roman"/>
          <w:sz w:val="24"/>
          <w:szCs w:val="24"/>
        </w:rPr>
        <w:t xml:space="preserve"> was studied. Silver nanoparticle was prepared and characterized by Fourier transform Infra-red spectroscopy (FTIR), X-ray diffractometry (XRD) and Scanning electron microscopy (SEM). The electro-catalytic activity of the synthesised AgNP</w:t>
      </w:r>
      <w:r>
        <w:rPr>
          <w:rFonts w:ascii="Times New Roman" w:hAnsi="Times New Roman"/>
          <w:sz w:val="24"/>
          <w:szCs w:val="24"/>
        </w:rPr>
        <w:t>s</w:t>
      </w:r>
      <w:r w:rsidRPr="0027392F">
        <w:rPr>
          <w:rFonts w:ascii="Times New Roman" w:hAnsi="Times New Roman"/>
          <w:sz w:val="24"/>
          <w:szCs w:val="24"/>
        </w:rPr>
        <w:t xml:space="preserve"> was investigated through potentiometric and amperometric techniques. The crystalline size of the AgNP</w:t>
      </w:r>
      <w:r>
        <w:rPr>
          <w:rFonts w:ascii="Times New Roman" w:hAnsi="Times New Roman"/>
          <w:sz w:val="24"/>
          <w:szCs w:val="24"/>
        </w:rPr>
        <w:t>s</w:t>
      </w:r>
      <w:r w:rsidRPr="0027392F">
        <w:rPr>
          <w:rFonts w:ascii="Times New Roman" w:hAnsi="Times New Roman"/>
          <w:sz w:val="24"/>
          <w:szCs w:val="24"/>
        </w:rPr>
        <w:t xml:space="preserve"> was revealed with XRD. </w:t>
      </w:r>
      <w:r w:rsidRPr="0027392F">
        <w:rPr>
          <w:rFonts w:ascii="Times New Roman" w:hAnsi="Times New Roman"/>
          <w:color w:val="000000"/>
          <w:sz w:val="24"/>
          <w:szCs w:val="24"/>
        </w:rPr>
        <w:t xml:space="preserve">The cubic face-centered structure of the synthesised silver nanoparticle was confirmed. This was supported by the observed sharp four diffraction peaks with peaks intense </w:t>
      </w:r>
      <w:r>
        <w:rPr>
          <w:rFonts w:ascii="Times New Roman" w:hAnsi="Times New Roman"/>
          <w:color w:val="000000"/>
          <w:sz w:val="24"/>
          <w:szCs w:val="24"/>
        </w:rPr>
        <w:t>appearing</w:t>
      </w:r>
      <w:r w:rsidRPr="0027392F">
        <w:rPr>
          <w:rFonts w:ascii="Times New Roman" w:hAnsi="Times New Roman"/>
          <w:color w:val="000000"/>
          <w:sz w:val="24"/>
          <w:szCs w:val="24"/>
        </w:rPr>
        <w:t xml:space="preserve"> at 2θ = 38.09°, 44.15°, 64.67°, and 77.54°. </w:t>
      </w:r>
      <w:r w:rsidRPr="0027392F">
        <w:rPr>
          <w:rFonts w:ascii="Times New Roman" w:hAnsi="Times New Roman"/>
          <w:sz w:val="24"/>
          <w:szCs w:val="24"/>
        </w:rPr>
        <w:t>However, the SEM micrograph of the synthesised AgNP</w:t>
      </w:r>
      <w:r>
        <w:rPr>
          <w:rFonts w:ascii="Times New Roman" w:hAnsi="Times New Roman"/>
          <w:sz w:val="24"/>
          <w:szCs w:val="24"/>
        </w:rPr>
        <w:t>s</w:t>
      </w:r>
      <w:r w:rsidRPr="0027392F">
        <w:rPr>
          <w:rFonts w:ascii="Times New Roman" w:hAnsi="Times New Roman"/>
          <w:sz w:val="24"/>
          <w:szCs w:val="24"/>
        </w:rPr>
        <w:t xml:space="preserve"> revealed the spherical shape of AgNP</w:t>
      </w:r>
      <w:r>
        <w:rPr>
          <w:rFonts w:ascii="Times New Roman" w:hAnsi="Times New Roman"/>
          <w:sz w:val="24"/>
          <w:szCs w:val="24"/>
        </w:rPr>
        <w:t>s</w:t>
      </w:r>
      <w:r w:rsidRPr="0027392F">
        <w:rPr>
          <w:rFonts w:ascii="Times New Roman" w:hAnsi="Times New Roman"/>
          <w:sz w:val="24"/>
          <w:szCs w:val="24"/>
        </w:rPr>
        <w:t xml:space="preserve"> with a non-uniform granular shape attributed to bio-mediated ionic gelation process. The surface of the synthesised AgNP</w:t>
      </w:r>
      <w:r>
        <w:rPr>
          <w:rFonts w:ascii="Times New Roman" w:hAnsi="Times New Roman"/>
          <w:sz w:val="24"/>
          <w:szCs w:val="24"/>
        </w:rPr>
        <w:t>s</w:t>
      </w:r>
      <w:r w:rsidRPr="0027392F">
        <w:rPr>
          <w:rFonts w:ascii="Times New Roman" w:hAnsi="Times New Roman"/>
          <w:sz w:val="24"/>
          <w:szCs w:val="24"/>
        </w:rPr>
        <w:t xml:space="preserve"> has a spherical shape and slightly elongated with a big tendency to aggregate and form larger particle clusters. Whereas, FTIR spectra of AgNP</w:t>
      </w:r>
      <w:r>
        <w:rPr>
          <w:rFonts w:ascii="Times New Roman" w:hAnsi="Times New Roman"/>
          <w:sz w:val="24"/>
          <w:szCs w:val="24"/>
        </w:rPr>
        <w:t>s</w:t>
      </w:r>
      <w:r w:rsidRPr="0027392F">
        <w:rPr>
          <w:rFonts w:ascii="Times New Roman" w:hAnsi="Times New Roman"/>
          <w:sz w:val="24"/>
          <w:szCs w:val="24"/>
        </w:rPr>
        <w:t xml:space="preserve"> gave peaks at 1054 – 1645 cm</w:t>
      </w:r>
      <w:r w:rsidRPr="0027392F">
        <w:rPr>
          <w:rFonts w:ascii="Times New Roman" w:hAnsi="Times New Roman"/>
          <w:sz w:val="24"/>
          <w:szCs w:val="24"/>
          <w:vertAlign w:val="superscript"/>
        </w:rPr>
        <w:t>-1</w:t>
      </w:r>
      <w:r w:rsidRPr="0027392F">
        <w:rPr>
          <w:rFonts w:ascii="Times New Roman" w:hAnsi="Times New Roman"/>
          <w:sz w:val="24"/>
          <w:szCs w:val="24"/>
        </w:rPr>
        <w:t xml:space="preserve"> suggesting the presence of phosphonate linkages</w:t>
      </w:r>
      <w:r w:rsidRPr="0027392F">
        <w:rPr>
          <w:rFonts w:ascii="Times New Roman" w:hAnsi="Times New Roman"/>
          <w:b/>
          <w:sz w:val="24"/>
          <w:szCs w:val="24"/>
        </w:rPr>
        <w:t xml:space="preserve"> </w:t>
      </w:r>
      <w:r w:rsidRPr="0027392F">
        <w:rPr>
          <w:rFonts w:ascii="Times New Roman" w:hAnsi="Times New Roman"/>
          <w:sz w:val="24"/>
          <w:szCs w:val="24"/>
        </w:rPr>
        <w:t>between ammonium, -NH</w:t>
      </w:r>
      <w:r w:rsidRPr="0027392F">
        <w:rPr>
          <w:rFonts w:ascii="Times New Roman" w:hAnsi="Times New Roman"/>
          <w:sz w:val="24"/>
          <w:szCs w:val="24"/>
          <w:vertAlign w:val="subscript"/>
        </w:rPr>
        <w:t>3</w:t>
      </w:r>
      <w:r w:rsidRPr="0027392F">
        <w:rPr>
          <w:rFonts w:ascii="Times New Roman" w:hAnsi="Times New Roman"/>
          <w:sz w:val="24"/>
          <w:szCs w:val="24"/>
          <w:vertAlign w:val="superscript"/>
        </w:rPr>
        <w:t>+</w:t>
      </w:r>
      <w:r w:rsidRPr="0027392F">
        <w:rPr>
          <w:rFonts w:ascii="Times New Roman" w:hAnsi="Times New Roman"/>
          <w:sz w:val="24"/>
          <w:szCs w:val="24"/>
        </w:rPr>
        <w:t xml:space="preserve"> of chitosan and</w:t>
      </w:r>
      <w:r w:rsidRPr="0027392F">
        <w:rPr>
          <w:rFonts w:ascii="Times New Roman" w:hAnsi="Times New Roman"/>
          <w:b/>
          <w:sz w:val="24"/>
          <w:szCs w:val="24"/>
        </w:rPr>
        <w:t xml:space="preserve"> –</w:t>
      </w:r>
      <w:r w:rsidRPr="0027392F">
        <w:rPr>
          <w:rFonts w:ascii="Times New Roman" w:hAnsi="Times New Roman"/>
          <w:sz w:val="24"/>
          <w:szCs w:val="24"/>
        </w:rPr>
        <w:t>PO</w:t>
      </w:r>
      <w:r w:rsidRPr="0027392F">
        <w:rPr>
          <w:rFonts w:ascii="Times New Roman" w:hAnsi="Times New Roman"/>
          <w:sz w:val="24"/>
          <w:szCs w:val="24"/>
          <w:vertAlign w:val="subscript"/>
        </w:rPr>
        <w:t>3</w:t>
      </w:r>
      <w:r w:rsidRPr="0027392F">
        <w:rPr>
          <w:rFonts w:ascii="Times New Roman" w:hAnsi="Times New Roman"/>
          <w:sz w:val="24"/>
          <w:szCs w:val="24"/>
          <w:vertAlign w:val="superscript"/>
        </w:rPr>
        <w:t>2-</w:t>
      </w:r>
      <w:r w:rsidRPr="0027392F">
        <w:rPr>
          <w:rFonts w:ascii="Times New Roman" w:hAnsi="Times New Roman"/>
          <w:b/>
          <w:sz w:val="24"/>
          <w:szCs w:val="24"/>
        </w:rPr>
        <w:t xml:space="preserve"> </w:t>
      </w:r>
      <w:r w:rsidRPr="0027392F">
        <w:rPr>
          <w:rFonts w:ascii="Times New Roman" w:hAnsi="Times New Roman"/>
          <w:sz w:val="24"/>
          <w:szCs w:val="24"/>
        </w:rPr>
        <w:t xml:space="preserve">moieties of NaTPP during cross </w:t>
      </w:r>
      <w:r w:rsidRPr="0027392F">
        <w:rPr>
          <w:rFonts w:ascii="Times New Roman" w:hAnsi="Times New Roman"/>
          <w:sz w:val="24"/>
          <w:szCs w:val="24"/>
        </w:rPr>
        <w:lastRenderedPageBreak/>
        <w:t>linking</w:t>
      </w:r>
      <w:r w:rsidRPr="0027392F">
        <w:rPr>
          <w:rFonts w:ascii="Times New Roman" w:hAnsi="Times New Roman"/>
          <w:b/>
          <w:sz w:val="24"/>
          <w:szCs w:val="24"/>
        </w:rPr>
        <w:t xml:space="preserve"> </w:t>
      </w:r>
      <w:r w:rsidRPr="0027392F">
        <w:rPr>
          <w:rFonts w:ascii="Times New Roman" w:hAnsi="Times New Roman"/>
          <w:sz w:val="24"/>
          <w:szCs w:val="24"/>
        </w:rPr>
        <w:t>process. The electro-catalytic oxidation of glucose at the electrode surface was examined and the mechanism involved in glucose oxidation was revealed. The silver nanoparticle modified glassy carbon electrode (AgNPGCE) showed a better electrochemical response towards glucose. This glucose sensor shows high sensitivity at +0.54 V. A low detection limit of 1.22</w:t>
      </w:r>
      <w:r w:rsidRPr="0027392F">
        <w:rPr>
          <w:rFonts w:ascii="Times New Roman" w:hAnsi="Times New Roman"/>
          <w:position w:val="-10"/>
          <w:sz w:val="24"/>
          <w:szCs w:val="24"/>
        </w:rPr>
        <w:object w:dxaOrig="200" w:dyaOrig="2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.95pt;height:13pt" o:ole="">
            <v:imagedata r:id="rId6" o:title=""/>
          </v:shape>
          <o:OLEObject Type="Embed" ProgID="Equation.3" ShapeID="_x0000_i1025" DrawAspect="Content" ObjectID="_1826190377" r:id="rId7"/>
        </w:object>
      </w:r>
      <w:r w:rsidRPr="0027392F">
        <w:rPr>
          <w:rFonts w:ascii="Times New Roman" w:hAnsi="Times New Roman"/>
          <w:sz w:val="24"/>
          <w:szCs w:val="24"/>
        </w:rPr>
        <w:t xml:space="preserve">M taken the confident level </w:t>
      </w:r>
      <w:r w:rsidRPr="0027392F">
        <w:rPr>
          <w:rFonts w:ascii="Times New Roman" w:hAnsi="Times New Roman"/>
          <w:position w:val="-6"/>
          <w:sz w:val="24"/>
          <w:szCs w:val="24"/>
        </w:rPr>
        <w:object w:dxaOrig="200" w:dyaOrig="279">
          <v:shape id="_x0000_i1026" type="#_x0000_t75" style="width:9.95pt;height:13.8pt" o:ole="">
            <v:imagedata r:id="rId8" o:title=""/>
          </v:shape>
          <o:OLEObject Type="Embed" ProgID="Equation.3" ShapeID="_x0000_i1026" DrawAspect="Content" ObjectID="_1826190378" r:id="rId9"/>
        </w:object>
      </w:r>
      <w:r w:rsidRPr="0027392F">
        <w:rPr>
          <w:rFonts w:ascii="Times New Roman" w:hAnsi="Times New Roman"/>
          <w:sz w:val="24"/>
          <w:szCs w:val="24"/>
        </w:rPr>
        <w:t xml:space="preserve"> to be 3, and wide linear range of 2 to 24</w:t>
      </w:r>
      <w:r w:rsidRPr="0027392F">
        <w:rPr>
          <w:rFonts w:ascii="Times New Roman" w:hAnsi="Times New Roman"/>
          <w:position w:val="-10"/>
          <w:sz w:val="24"/>
          <w:szCs w:val="24"/>
        </w:rPr>
        <w:object w:dxaOrig="200" w:dyaOrig="260">
          <v:shape id="_x0000_i1027" type="#_x0000_t75" style="width:9.95pt;height:13pt" o:ole="">
            <v:imagedata r:id="rId10" o:title=""/>
          </v:shape>
          <o:OLEObject Type="Embed" ProgID="Equation.3" ShapeID="_x0000_i1027" DrawAspect="Content" ObjectID="_1826190379" r:id="rId11"/>
        </w:object>
      </w:r>
      <w:r w:rsidRPr="0027392F">
        <w:rPr>
          <w:rFonts w:ascii="Times New Roman" w:hAnsi="Times New Roman"/>
          <w:sz w:val="24"/>
          <w:szCs w:val="24"/>
        </w:rPr>
        <w:t>M with a correlation coefficient of 0.9987 were obtained. The calculated parameters revealed that AgNP</w:t>
      </w:r>
      <w:r>
        <w:rPr>
          <w:rFonts w:ascii="Times New Roman" w:hAnsi="Times New Roman"/>
          <w:sz w:val="24"/>
          <w:szCs w:val="24"/>
        </w:rPr>
        <w:t>s</w:t>
      </w:r>
      <w:r w:rsidRPr="0027392F">
        <w:rPr>
          <w:rFonts w:ascii="Times New Roman" w:hAnsi="Times New Roman"/>
          <w:sz w:val="24"/>
          <w:szCs w:val="24"/>
        </w:rPr>
        <w:t xml:space="preserve"> has shown better overall electrochemical performance with a response which is better than enzymatic biosensor. The fabricated AgNP</w:t>
      </w:r>
      <w:r>
        <w:rPr>
          <w:rFonts w:ascii="Times New Roman" w:hAnsi="Times New Roman"/>
          <w:sz w:val="24"/>
          <w:szCs w:val="24"/>
        </w:rPr>
        <w:t>s</w:t>
      </w:r>
      <w:r w:rsidRPr="0027392F">
        <w:rPr>
          <w:rFonts w:ascii="Times New Roman" w:hAnsi="Times New Roman"/>
          <w:sz w:val="24"/>
          <w:szCs w:val="24"/>
        </w:rPr>
        <w:t xml:space="preserve"> sensor shows comparable sensitivity (98%) of the initial value after </w:t>
      </w:r>
      <w:r>
        <w:rPr>
          <w:rFonts w:ascii="Times New Roman" w:hAnsi="Times New Roman"/>
          <w:sz w:val="24"/>
          <w:szCs w:val="24"/>
        </w:rPr>
        <w:t>it was</w:t>
      </w:r>
      <w:r w:rsidRPr="0027392F">
        <w:rPr>
          <w:rFonts w:ascii="Times New Roman" w:hAnsi="Times New Roman"/>
          <w:sz w:val="24"/>
          <w:szCs w:val="24"/>
        </w:rPr>
        <w:t xml:space="preserve"> kept in air for 8 days, demonstrating the very goo</w:t>
      </w:r>
      <w:r>
        <w:rPr>
          <w:rFonts w:ascii="Times New Roman" w:hAnsi="Times New Roman"/>
          <w:sz w:val="24"/>
          <w:szCs w:val="24"/>
        </w:rPr>
        <w:t>d sensitivity and durability of</w:t>
      </w:r>
      <w:r w:rsidRPr="0027392F">
        <w:rPr>
          <w:rFonts w:ascii="Times New Roman" w:hAnsi="Times New Roman"/>
          <w:sz w:val="24"/>
          <w:szCs w:val="24"/>
        </w:rPr>
        <w:t xml:space="preserve"> the glucose sensing. The good adhesion towards electrode and structural stability of AgNP</w:t>
      </w:r>
      <w:r>
        <w:rPr>
          <w:rFonts w:ascii="Times New Roman" w:hAnsi="Times New Roman"/>
          <w:sz w:val="24"/>
          <w:szCs w:val="24"/>
        </w:rPr>
        <w:t>s</w:t>
      </w:r>
      <w:r w:rsidRPr="0027392F">
        <w:rPr>
          <w:rFonts w:ascii="Times New Roman" w:hAnsi="Times New Roman"/>
          <w:sz w:val="24"/>
          <w:szCs w:val="24"/>
        </w:rPr>
        <w:t xml:space="preserve"> could be ascribed to long-term stability</w:t>
      </w:r>
      <w:r>
        <w:rPr>
          <w:rFonts w:ascii="Times New Roman" w:hAnsi="Times New Roman"/>
          <w:sz w:val="24"/>
          <w:szCs w:val="24"/>
        </w:rPr>
        <w:t xml:space="preserve"> of AgNPs sensor</w:t>
      </w:r>
      <w:r w:rsidRPr="0027392F">
        <w:rPr>
          <w:rFonts w:ascii="Times New Roman" w:hAnsi="Times New Roman"/>
          <w:sz w:val="24"/>
          <w:szCs w:val="24"/>
        </w:rPr>
        <w:t xml:space="preserve">. Based on these </w:t>
      </w:r>
      <w:r>
        <w:rPr>
          <w:rFonts w:ascii="Times New Roman" w:hAnsi="Times New Roman"/>
          <w:sz w:val="24"/>
          <w:szCs w:val="24"/>
        </w:rPr>
        <w:t>results</w:t>
      </w:r>
      <w:r w:rsidRPr="0027392F">
        <w:rPr>
          <w:rFonts w:ascii="Times New Roman" w:hAnsi="Times New Roman"/>
          <w:sz w:val="24"/>
          <w:szCs w:val="24"/>
        </w:rPr>
        <w:t>, the AgNPGCE is a promising glucose biosensor candidate for excellent determination of glucose level in any medium.</w:t>
      </w:r>
    </w:p>
    <w:p w:rsidR="00284CE0" w:rsidRDefault="00284CE0"/>
    <w:sectPr w:rsidR="00284CE0" w:rsidSect="00284CE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436C" w:rsidRDefault="0023436C" w:rsidP="00571C72">
      <w:pPr>
        <w:spacing w:after="0" w:line="240" w:lineRule="auto"/>
      </w:pPr>
      <w:r>
        <w:separator/>
      </w:r>
    </w:p>
  </w:endnote>
  <w:endnote w:type="continuationSeparator" w:id="1">
    <w:p w:rsidR="0023436C" w:rsidRDefault="0023436C" w:rsidP="00571C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Arial Unicode MS"/>
    <w:panose1 w:val="00000000000000000000"/>
    <w:charset w:val="81"/>
    <w:family w:val="auto"/>
    <w:notTrueType/>
    <w:pitch w:val="default"/>
    <w:sig w:usb0="00000003" w:usb1="09060000" w:usb2="00000010" w:usb3="00000000" w:csb0="0008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436C" w:rsidRDefault="0023436C" w:rsidP="00571C72">
      <w:pPr>
        <w:spacing w:after="0" w:line="240" w:lineRule="auto"/>
      </w:pPr>
      <w:r>
        <w:separator/>
      </w:r>
    </w:p>
  </w:footnote>
  <w:footnote w:type="continuationSeparator" w:id="1">
    <w:p w:rsidR="0023436C" w:rsidRDefault="0023436C" w:rsidP="00571C7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42962"/>
    <w:rsid w:val="0023436C"/>
    <w:rsid w:val="00284CE0"/>
    <w:rsid w:val="00571C72"/>
    <w:rsid w:val="00642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2962"/>
    <w:rPr>
      <w:rFonts w:ascii="Calibri" w:eastAsia="Calibri" w:hAnsi="Calibri" w:cs="Arial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42962"/>
    <w:pPr>
      <w:ind w:left="720"/>
      <w:contextualSpacing/>
      <w:jc w:val="center"/>
    </w:pPr>
    <w:rPr>
      <w:lang w:eastAsia="yo-NG"/>
    </w:rPr>
  </w:style>
  <w:style w:type="paragraph" w:styleId="Header">
    <w:name w:val="header"/>
    <w:basedOn w:val="Normal"/>
    <w:link w:val="HeaderChar"/>
    <w:uiPriority w:val="99"/>
    <w:semiHidden/>
    <w:unhideWhenUsed/>
    <w:rsid w:val="00571C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71C72"/>
    <w:rPr>
      <w:rFonts w:ascii="Calibri" w:eastAsia="Calibri" w:hAnsi="Calibri" w:cs="Arial"/>
      <w:lang w:val="en-GB"/>
    </w:rPr>
  </w:style>
  <w:style w:type="paragraph" w:styleId="Footer">
    <w:name w:val="footer"/>
    <w:basedOn w:val="Normal"/>
    <w:link w:val="FooterChar"/>
    <w:uiPriority w:val="99"/>
    <w:semiHidden/>
    <w:unhideWhenUsed/>
    <w:rsid w:val="00571C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71C72"/>
    <w:rPr>
      <w:rFonts w:ascii="Calibri" w:eastAsia="Calibri" w:hAnsi="Calibri" w:cs="Arial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oleObject" Target="embeddings/oleObject3.bin"/><Relationship Id="rId5" Type="http://schemas.openxmlformats.org/officeDocument/2006/relationships/endnotes" Target="endnotes.xml"/><Relationship Id="rId10" Type="http://schemas.openxmlformats.org/officeDocument/2006/relationships/image" Target="media/image3.wmf"/><Relationship Id="rId4" Type="http://schemas.openxmlformats.org/officeDocument/2006/relationships/footnotes" Target="footnotes.xml"/><Relationship Id="rId9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562</Words>
  <Characters>3207</Characters>
  <Application>Microsoft Office Word</Application>
  <DocSecurity>0</DocSecurity>
  <Lines>26</Lines>
  <Paragraphs>7</Paragraphs>
  <ScaleCrop>false</ScaleCrop>
  <Company/>
  <LinksUpToDate>false</LinksUpToDate>
  <CharactersWithSpaces>3762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2</cp:revision>
  <dcterms:created xsi:type="dcterms:W3CDTF">2025-12-02T13:16:00Z</dcterms:created>
  <dcterms:modified xsi:type="dcterms:W3CDTF">2025-12-02T13:20:00Z</dcterms:modified>
</cp:coreProperties>
</file>