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166F" w:rsidRPr="00CB084B" w:rsidRDefault="007D166F" w:rsidP="007D166F">
      <w:pPr>
        <w:spacing w:line="480" w:lineRule="auto"/>
        <w:jc w:val="center"/>
        <w:rPr>
          <w:rFonts w:ascii="Times New Roman" w:hAnsi="Times New Roman" w:cs="Times New Roman"/>
          <w:b/>
          <w:bCs/>
          <w:sz w:val="24"/>
          <w:szCs w:val="24"/>
        </w:rPr>
      </w:pPr>
      <w:bookmarkStart w:id="0" w:name="_Hlk146999704"/>
      <w:r>
        <w:rPr>
          <w:rFonts w:ascii="Times New Roman" w:hAnsi="Times New Roman" w:cs="Times New Roman"/>
          <w:b/>
          <w:bCs/>
          <w:sz w:val="24"/>
          <w:szCs w:val="24"/>
        </w:rPr>
        <w:t>`</w:t>
      </w:r>
      <w:r w:rsidRPr="00CB084B">
        <w:rPr>
          <w:rFonts w:ascii="Times New Roman" w:hAnsi="Times New Roman" w:cs="Times New Roman"/>
          <w:b/>
          <w:bCs/>
          <w:sz w:val="24"/>
          <w:szCs w:val="24"/>
        </w:rPr>
        <w:t xml:space="preserve">ISOLATION AND IDENTIFICATION OF CLASS 1, 2, AND 3 INTEGRONS IN MULTI-DRUG RESISTANT UROPATHOGENIC </w:t>
      </w:r>
      <w:proofErr w:type="spellStart"/>
      <w:r w:rsidRPr="00CB084B">
        <w:rPr>
          <w:rFonts w:ascii="Times New Roman" w:hAnsi="Times New Roman" w:cs="Times New Roman"/>
          <w:b/>
          <w:bCs/>
          <w:sz w:val="24"/>
          <w:szCs w:val="24"/>
        </w:rPr>
        <w:t>Klebsiella</w:t>
      </w:r>
      <w:proofErr w:type="spellEnd"/>
      <w:r w:rsidRPr="00CB084B">
        <w:rPr>
          <w:rFonts w:ascii="Times New Roman" w:hAnsi="Times New Roman" w:cs="Times New Roman"/>
          <w:b/>
          <w:bCs/>
          <w:sz w:val="24"/>
          <w:szCs w:val="24"/>
        </w:rPr>
        <w:t xml:space="preserve"> </w:t>
      </w:r>
      <w:proofErr w:type="spellStart"/>
      <w:r w:rsidRPr="00CB084B">
        <w:rPr>
          <w:rFonts w:ascii="Times New Roman" w:hAnsi="Times New Roman" w:cs="Times New Roman"/>
          <w:b/>
          <w:bCs/>
          <w:i/>
          <w:iCs/>
          <w:sz w:val="24"/>
          <w:szCs w:val="24"/>
        </w:rPr>
        <w:t>pneumoniae</w:t>
      </w:r>
      <w:proofErr w:type="spellEnd"/>
      <w:r w:rsidRPr="00CB084B">
        <w:rPr>
          <w:rFonts w:ascii="Times New Roman" w:hAnsi="Times New Roman" w:cs="Times New Roman"/>
          <w:b/>
          <w:bCs/>
          <w:i/>
          <w:iCs/>
          <w:sz w:val="24"/>
          <w:szCs w:val="24"/>
        </w:rPr>
        <w:t xml:space="preserve"> </w:t>
      </w:r>
      <w:bookmarkEnd w:id="0"/>
      <w:r w:rsidRPr="00CB084B">
        <w:rPr>
          <w:rFonts w:ascii="Times New Roman" w:hAnsi="Times New Roman" w:cs="Times New Roman"/>
          <w:b/>
          <w:bCs/>
          <w:sz w:val="24"/>
          <w:szCs w:val="24"/>
        </w:rPr>
        <w:t>FROM PATIENTS ATTENDING TERTIARY HOSPITALS IN SOUTH WEST, NIGERIA</w:t>
      </w:r>
      <w:r w:rsidRPr="00CB084B">
        <w:rPr>
          <w:rFonts w:ascii="Times New Roman" w:hAnsi="Times New Roman" w:cs="Times New Roman"/>
          <w:b/>
          <w:bCs/>
          <w:sz w:val="24"/>
          <w:szCs w:val="24"/>
        </w:rPr>
        <w:br/>
      </w:r>
    </w:p>
    <w:p w:rsidR="007D166F" w:rsidRPr="00CB084B" w:rsidRDefault="007D166F" w:rsidP="007D166F">
      <w:pPr>
        <w:spacing w:line="480" w:lineRule="auto"/>
        <w:jc w:val="center"/>
        <w:rPr>
          <w:rFonts w:ascii="Times New Roman" w:hAnsi="Times New Roman" w:cs="Times New Roman"/>
          <w:b/>
          <w:bCs/>
          <w:sz w:val="24"/>
          <w:szCs w:val="24"/>
        </w:rPr>
      </w:pPr>
    </w:p>
    <w:p w:rsidR="007D166F" w:rsidRPr="00CB084B" w:rsidRDefault="007D166F" w:rsidP="007D166F">
      <w:pPr>
        <w:spacing w:line="480" w:lineRule="auto"/>
        <w:jc w:val="center"/>
        <w:rPr>
          <w:rFonts w:ascii="Times New Roman" w:hAnsi="Times New Roman" w:cs="Times New Roman"/>
          <w:b/>
          <w:bCs/>
          <w:sz w:val="24"/>
          <w:szCs w:val="24"/>
        </w:rPr>
      </w:pPr>
      <w:r w:rsidRPr="00CB084B">
        <w:rPr>
          <w:rFonts w:ascii="Times New Roman" w:hAnsi="Times New Roman" w:cs="Times New Roman"/>
          <w:b/>
          <w:bCs/>
          <w:sz w:val="24"/>
          <w:szCs w:val="24"/>
        </w:rPr>
        <w:t>BY</w:t>
      </w:r>
    </w:p>
    <w:p w:rsidR="007D166F" w:rsidRDefault="007D166F" w:rsidP="007D166F">
      <w:pPr>
        <w:spacing w:line="480" w:lineRule="auto"/>
        <w:jc w:val="center"/>
        <w:rPr>
          <w:rFonts w:ascii="Times New Roman" w:hAnsi="Times New Roman" w:cs="Times New Roman"/>
          <w:b/>
          <w:bCs/>
          <w:sz w:val="24"/>
          <w:szCs w:val="24"/>
        </w:rPr>
      </w:pPr>
    </w:p>
    <w:p w:rsidR="007D166F" w:rsidRDefault="007D166F" w:rsidP="007D166F">
      <w:pPr>
        <w:spacing w:line="480" w:lineRule="auto"/>
        <w:jc w:val="center"/>
        <w:rPr>
          <w:rFonts w:ascii="Times New Roman" w:hAnsi="Times New Roman" w:cs="Times New Roman"/>
          <w:b/>
          <w:bCs/>
          <w:sz w:val="24"/>
          <w:szCs w:val="24"/>
        </w:rPr>
      </w:pPr>
    </w:p>
    <w:p w:rsidR="007D166F" w:rsidRPr="00CB084B" w:rsidRDefault="007D166F" w:rsidP="007D166F">
      <w:pPr>
        <w:spacing w:line="480" w:lineRule="auto"/>
        <w:jc w:val="center"/>
        <w:rPr>
          <w:rFonts w:ascii="Times New Roman" w:hAnsi="Times New Roman" w:cs="Times New Roman"/>
          <w:b/>
          <w:bCs/>
          <w:sz w:val="24"/>
          <w:szCs w:val="24"/>
        </w:rPr>
      </w:pPr>
      <w:r w:rsidRPr="00CB084B">
        <w:rPr>
          <w:rFonts w:ascii="Times New Roman" w:hAnsi="Times New Roman" w:cs="Times New Roman"/>
          <w:b/>
          <w:bCs/>
          <w:sz w:val="24"/>
          <w:szCs w:val="24"/>
        </w:rPr>
        <w:br/>
        <w:t>NWACHUKWU, VICTORIA UDOCHUKWU (PG17/0532)</w:t>
      </w:r>
    </w:p>
    <w:p w:rsidR="007D166F" w:rsidRDefault="007D166F" w:rsidP="007D166F">
      <w:pPr>
        <w:spacing w:line="480" w:lineRule="auto"/>
        <w:jc w:val="center"/>
        <w:rPr>
          <w:rFonts w:ascii="Times New Roman" w:hAnsi="Times New Roman" w:cs="Times New Roman"/>
          <w:b/>
          <w:bCs/>
          <w:sz w:val="24"/>
          <w:szCs w:val="24"/>
        </w:rPr>
      </w:pPr>
    </w:p>
    <w:p w:rsidR="007D166F" w:rsidRDefault="007D166F" w:rsidP="007D166F">
      <w:pPr>
        <w:spacing w:line="480" w:lineRule="auto"/>
        <w:jc w:val="center"/>
        <w:rPr>
          <w:rFonts w:ascii="Times New Roman" w:hAnsi="Times New Roman" w:cs="Times New Roman"/>
          <w:b/>
          <w:bCs/>
          <w:sz w:val="24"/>
          <w:szCs w:val="24"/>
        </w:rPr>
      </w:pPr>
    </w:p>
    <w:p w:rsidR="007D166F" w:rsidRDefault="007D166F" w:rsidP="007D166F">
      <w:pPr>
        <w:spacing w:line="480" w:lineRule="auto"/>
        <w:jc w:val="center"/>
        <w:rPr>
          <w:rFonts w:ascii="Times New Roman" w:hAnsi="Times New Roman" w:cs="Times New Roman"/>
          <w:b/>
          <w:bCs/>
          <w:sz w:val="24"/>
          <w:szCs w:val="24"/>
        </w:rPr>
      </w:pPr>
    </w:p>
    <w:p w:rsidR="007D166F" w:rsidRDefault="007D166F" w:rsidP="007D166F">
      <w:pPr>
        <w:pStyle w:val="Heading3"/>
        <w:jc w:val="center"/>
      </w:pPr>
      <w:bookmarkStart w:id="1" w:name="_Toc152058750"/>
      <w:r w:rsidRPr="00CB084B">
        <w:t>A Dissertation Submitted to the Department of Microbiology, College of Biological Sciences, Federal University of Agriculture, Abeokuta in partial fu</w:t>
      </w:r>
      <w:r>
        <w:t>l</w:t>
      </w:r>
      <w:r w:rsidRPr="00CB084B">
        <w:t>fil</w:t>
      </w:r>
      <w:r>
        <w:t>l</w:t>
      </w:r>
      <w:r w:rsidRPr="00CB084B">
        <w:t>ment of the requirement for degree of Master of Medical Microbiology and Public Health.</w:t>
      </w:r>
      <w:bookmarkEnd w:id="1"/>
    </w:p>
    <w:p w:rsidR="007D166F" w:rsidRDefault="007D166F" w:rsidP="007D166F">
      <w:pPr>
        <w:spacing w:line="480" w:lineRule="auto"/>
        <w:jc w:val="center"/>
        <w:rPr>
          <w:rFonts w:ascii="Times New Roman" w:hAnsi="Times New Roman" w:cs="Times New Roman"/>
          <w:b/>
          <w:bCs/>
          <w:sz w:val="24"/>
          <w:szCs w:val="24"/>
        </w:rPr>
      </w:pPr>
    </w:p>
    <w:p w:rsidR="007D166F" w:rsidRDefault="007D166F" w:rsidP="007D166F">
      <w:pPr>
        <w:spacing w:line="480" w:lineRule="auto"/>
        <w:jc w:val="center"/>
        <w:rPr>
          <w:rFonts w:ascii="Times New Roman" w:hAnsi="Times New Roman" w:cs="Times New Roman"/>
          <w:b/>
          <w:bCs/>
          <w:sz w:val="24"/>
          <w:szCs w:val="24"/>
        </w:rPr>
      </w:pPr>
    </w:p>
    <w:p w:rsidR="007D166F" w:rsidRDefault="007D166F" w:rsidP="007D166F">
      <w:pPr>
        <w:spacing w:line="480" w:lineRule="auto"/>
        <w:jc w:val="center"/>
        <w:rPr>
          <w:rFonts w:ascii="Times New Roman" w:hAnsi="Times New Roman" w:cs="Times New Roman"/>
          <w:b/>
          <w:bCs/>
          <w:sz w:val="24"/>
          <w:szCs w:val="24"/>
        </w:rPr>
      </w:pPr>
      <w:r w:rsidRPr="00CB084B">
        <w:rPr>
          <w:rFonts w:ascii="Times New Roman" w:hAnsi="Times New Roman" w:cs="Times New Roman"/>
          <w:b/>
          <w:bCs/>
          <w:sz w:val="24"/>
          <w:szCs w:val="24"/>
        </w:rPr>
        <w:t>NOVEMBER 2023</w:t>
      </w:r>
    </w:p>
    <w:p w:rsidR="007D166F" w:rsidRDefault="007D166F" w:rsidP="007D166F">
      <w:pPr>
        <w:pStyle w:val="Heading1"/>
      </w:pPr>
      <w:bookmarkStart w:id="2" w:name="_Toc152058754"/>
      <w:r>
        <w:lastRenderedPageBreak/>
        <w:t>ABSTRACT</w:t>
      </w:r>
      <w:bookmarkEnd w:id="2"/>
    </w:p>
    <w:p w:rsidR="007D166F" w:rsidRDefault="007D166F" w:rsidP="007D166F">
      <w:pPr>
        <w:autoSpaceDE w:val="0"/>
        <w:autoSpaceDN w:val="0"/>
        <w:adjustRightInd w:val="0"/>
        <w:spacing w:after="0" w:line="480" w:lineRule="auto"/>
        <w:jc w:val="both"/>
        <w:rPr>
          <w:rFonts w:ascii="Times New Roman" w:hAnsi="Times New Roman" w:cs="Times New Roman"/>
          <w:b/>
          <w:bCs/>
          <w:sz w:val="24"/>
          <w:szCs w:val="24"/>
        </w:rPr>
      </w:pP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play an </w:t>
      </w:r>
      <w:proofErr w:type="spellStart"/>
      <w:r>
        <w:rPr>
          <w:rFonts w:ascii="Times New Roman" w:hAnsi="Times New Roman" w:cs="Times New Roman"/>
          <w:sz w:val="24"/>
          <w:szCs w:val="24"/>
        </w:rPr>
        <w:t>outstandingrole</w:t>
      </w:r>
      <w:proofErr w:type="spellEnd"/>
      <w:r>
        <w:rPr>
          <w:rFonts w:ascii="Times New Roman" w:hAnsi="Times New Roman" w:cs="Times New Roman"/>
          <w:sz w:val="24"/>
          <w:szCs w:val="24"/>
        </w:rPr>
        <w:t xml:space="preserve"> in the evolution and dissemination of antibiotic resistant genes especially among </w:t>
      </w:r>
      <w:proofErr w:type="spellStart"/>
      <w:r>
        <w:rPr>
          <w:rFonts w:ascii="Times New Roman" w:hAnsi="Times New Roman" w:cs="Times New Roman"/>
          <w:sz w:val="24"/>
          <w:szCs w:val="24"/>
        </w:rPr>
        <w:t>uropathogenic</w:t>
      </w:r>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sz w:val="24"/>
          <w:szCs w:val="24"/>
        </w:rPr>
        <w:t>. However, the prevalence of extended spectrum beta-</w:t>
      </w:r>
      <w:proofErr w:type="spellStart"/>
      <w:r>
        <w:rPr>
          <w:rFonts w:ascii="Times New Roman" w:hAnsi="Times New Roman" w:cs="Times New Roman"/>
          <w:sz w:val="24"/>
          <w:szCs w:val="24"/>
        </w:rPr>
        <w:t>lactamases</w:t>
      </w:r>
      <w:proofErr w:type="spellEnd"/>
      <w:r>
        <w:rPr>
          <w:rFonts w:ascii="Times New Roman" w:hAnsi="Times New Roman" w:cs="Times New Roman"/>
          <w:sz w:val="24"/>
          <w:szCs w:val="24"/>
        </w:rPr>
        <w:t xml:space="preserve"> (ESBL) or </w:t>
      </w:r>
      <w:proofErr w:type="spellStart"/>
      <w:r>
        <w:rPr>
          <w:rFonts w:ascii="Times New Roman" w:hAnsi="Times New Roman" w:cs="Times New Roman"/>
          <w:sz w:val="24"/>
          <w:szCs w:val="24"/>
        </w:rPr>
        <w:t>Metallo</w:t>
      </w:r>
      <w:proofErr w:type="spellEnd"/>
      <w:r>
        <w:rPr>
          <w:rFonts w:ascii="Times New Roman" w:hAnsi="Times New Roman" w:cs="Times New Roman"/>
          <w:sz w:val="24"/>
          <w:szCs w:val="24"/>
        </w:rPr>
        <w:t>-beta-</w:t>
      </w:r>
      <w:proofErr w:type="spellStart"/>
      <w:r>
        <w:rPr>
          <w:rFonts w:ascii="Times New Roman" w:hAnsi="Times New Roman" w:cs="Times New Roman"/>
          <w:sz w:val="24"/>
          <w:szCs w:val="24"/>
        </w:rPr>
        <w:t>lactamases</w:t>
      </w:r>
      <w:proofErr w:type="spellEnd"/>
      <w:r>
        <w:rPr>
          <w:rFonts w:ascii="Times New Roman" w:hAnsi="Times New Roman" w:cs="Times New Roman"/>
          <w:sz w:val="24"/>
          <w:szCs w:val="24"/>
        </w:rPr>
        <w:t xml:space="preserve"> (MBL)-producing </w:t>
      </w:r>
      <w:proofErr w:type="spellStart"/>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sz w:val="24"/>
          <w:szCs w:val="24"/>
        </w:rPr>
        <w:t xml:space="preserve"> are increasingly becoming health care concern. This study aimed to characterize three classes of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identified among Multi-drug Resistant (MDR) </w:t>
      </w:r>
      <w:proofErr w:type="spellStart"/>
      <w:r>
        <w:rPr>
          <w:rFonts w:ascii="Times New Roman" w:hAnsi="Times New Roman" w:cs="Times New Roman"/>
          <w:sz w:val="24"/>
          <w:szCs w:val="24"/>
        </w:rPr>
        <w:t>uropathogenic</w:t>
      </w:r>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sz w:val="24"/>
          <w:szCs w:val="24"/>
        </w:rPr>
        <w:t xml:space="preserve"> isolated from patients visiting two tertiary hospitals in Southwest, Nigeria. Two hundred and fifty-three suspected </w:t>
      </w:r>
      <w:proofErr w:type="spellStart"/>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sz w:val="24"/>
          <w:szCs w:val="24"/>
        </w:rPr>
        <w:t xml:space="preserve"> isolated from the urine benches of University College Hospital (UCH), Ibadan (205) and Federal Medical Centre (FMC), Abeokuta (48) were examined. Isolates were identified using Analytical Profile Index 20E, and 16S </w:t>
      </w:r>
      <w:proofErr w:type="spellStart"/>
      <w:r>
        <w:rPr>
          <w:rFonts w:ascii="Times New Roman" w:hAnsi="Times New Roman" w:cs="Times New Roman"/>
          <w:sz w:val="24"/>
          <w:szCs w:val="24"/>
        </w:rPr>
        <w:t>rRNA</w:t>
      </w:r>
      <w:proofErr w:type="spellEnd"/>
      <w:r>
        <w:rPr>
          <w:rFonts w:ascii="Times New Roman" w:hAnsi="Times New Roman" w:cs="Times New Roman"/>
          <w:sz w:val="24"/>
          <w:szCs w:val="24"/>
        </w:rPr>
        <w:t xml:space="preserve"> gene sequencing. Susceptibility of isolates to 14 antibiotic discs under 8 classes was determined using disc diffusion method. MDR was based on resistance to ≥3 classes of antibiotics. 10 isolates with resistant to ≥3 classes of antibiotics were selected for molecular studies. The Clinical laboratory standard institute confirmation test was used for the evaluation of ESBL or MBL production. Minimum Inhibitory Concentration (MIC) and minimum bactericidal concentration were ascertained using </w:t>
      </w:r>
      <w:proofErr w:type="spellStart"/>
      <w:r>
        <w:rPr>
          <w:rFonts w:ascii="Times New Roman" w:hAnsi="Times New Roman" w:cs="Times New Roman"/>
          <w:sz w:val="24"/>
          <w:szCs w:val="24"/>
        </w:rPr>
        <w:t>microdilution</w:t>
      </w:r>
      <w:proofErr w:type="spellEnd"/>
      <w:r>
        <w:rPr>
          <w:rFonts w:ascii="Times New Roman" w:hAnsi="Times New Roman" w:cs="Times New Roman"/>
          <w:sz w:val="24"/>
          <w:szCs w:val="24"/>
        </w:rPr>
        <w:t xml:space="preserve"> technique. The DNA of the 10 MDR </w:t>
      </w:r>
      <w:proofErr w:type="spellStart"/>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sz w:val="24"/>
          <w:szCs w:val="24"/>
        </w:rPr>
        <w:t xml:space="preserve"> (MDRKP) was extracted using ZYMO research </w:t>
      </w:r>
      <w:proofErr w:type="spellStart"/>
      <w:r>
        <w:rPr>
          <w:rFonts w:ascii="Times New Roman" w:hAnsi="Times New Roman" w:cs="Times New Roman"/>
          <w:sz w:val="24"/>
          <w:szCs w:val="24"/>
        </w:rPr>
        <w:t>miniprep</w:t>
      </w:r>
      <w:proofErr w:type="spellEnd"/>
      <w:r>
        <w:rPr>
          <w:rFonts w:ascii="Times New Roman" w:hAnsi="Times New Roman" w:cs="Times New Roman"/>
          <w:sz w:val="24"/>
          <w:szCs w:val="24"/>
        </w:rPr>
        <w:t xml:space="preserve"> kit. Presence of </w:t>
      </w:r>
      <w:proofErr w:type="spellStart"/>
      <w:r>
        <w:rPr>
          <w:rFonts w:ascii="Times New Roman" w:hAnsi="Times New Roman" w:cs="Times New Roman"/>
          <w:i/>
          <w:iCs/>
          <w:sz w:val="24"/>
          <w:szCs w:val="24"/>
        </w:rPr>
        <w:t>blaIMP</w:t>
      </w:r>
      <w:r>
        <w:rPr>
          <w:rFonts w:ascii="Times New Roman" w:hAnsi="Times New Roman" w:cs="Times New Roman"/>
          <w:sz w:val="24"/>
          <w:szCs w:val="24"/>
        </w:rPr>
        <w:t>or</w:t>
      </w:r>
      <w:r>
        <w:rPr>
          <w:rFonts w:ascii="Times New Roman" w:hAnsi="Times New Roman" w:cs="Times New Roman"/>
          <w:i/>
          <w:iCs/>
          <w:sz w:val="24"/>
          <w:szCs w:val="24"/>
        </w:rPr>
        <w:t>blaCTX</w:t>
      </w:r>
      <w:proofErr w:type="spellEnd"/>
      <w:r>
        <w:rPr>
          <w:rFonts w:ascii="Times New Roman" w:hAnsi="Times New Roman" w:cs="Times New Roman"/>
          <w:i/>
          <w:iCs/>
          <w:sz w:val="24"/>
          <w:szCs w:val="24"/>
        </w:rPr>
        <w:t xml:space="preserve">-M </w:t>
      </w:r>
      <w:r>
        <w:rPr>
          <w:rFonts w:ascii="Times New Roman" w:hAnsi="Times New Roman" w:cs="Times New Roman"/>
          <w:sz w:val="24"/>
          <w:szCs w:val="24"/>
        </w:rPr>
        <w:t xml:space="preserve">genes, class 1, 2, and 3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and the content of conserved segment (CS) were amplified using polymerase chain reaction. A total of 194 (95%) isolates from UCH and 10 (5%) from FMC were presumptively identified as </w:t>
      </w:r>
      <w:proofErr w:type="spellStart"/>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by API 20E. Similarly, 88 (97.8%) from UCH, and 2 (2.2%) from FMC were putatively confirmed as </w:t>
      </w:r>
      <w:proofErr w:type="spellStart"/>
      <w:r>
        <w:rPr>
          <w:rFonts w:ascii="Times New Roman" w:hAnsi="Times New Roman" w:cs="Times New Roman"/>
          <w:i/>
          <w:iCs/>
          <w:sz w:val="24"/>
          <w:szCs w:val="24"/>
        </w:rPr>
        <w:t>Klebsiella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pneumoniae</w:t>
      </w:r>
      <w:proofErr w:type="spellEnd"/>
      <w:r>
        <w:rPr>
          <w:rFonts w:ascii="Times New Roman" w:hAnsi="Times New Roman" w:cs="Times New Roman"/>
          <w:sz w:val="24"/>
          <w:szCs w:val="24"/>
        </w:rPr>
        <w:t xml:space="preserve"> by 16S </w:t>
      </w:r>
      <w:proofErr w:type="spellStart"/>
      <w:r>
        <w:rPr>
          <w:rFonts w:ascii="Times New Roman" w:hAnsi="Times New Roman" w:cs="Times New Roman"/>
          <w:sz w:val="24"/>
          <w:szCs w:val="24"/>
        </w:rPr>
        <w:t>rRNA</w:t>
      </w:r>
      <w:proofErr w:type="spellEnd"/>
      <w:r>
        <w:rPr>
          <w:rFonts w:ascii="Times New Roman" w:hAnsi="Times New Roman" w:cs="Times New Roman"/>
          <w:sz w:val="24"/>
          <w:szCs w:val="24"/>
        </w:rPr>
        <w:t xml:space="preserve"> gene sequencing. While 86.7% of the isolates were susceptible to </w:t>
      </w:r>
      <w:proofErr w:type="spellStart"/>
      <w:r>
        <w:rPr>
          <w:rFonts w:ascii="Times New Roman" w:hAnsi="Times New Roman" w:cs="Times New Roman"/>
          <w:sz w:val="24"/>
          <w:szCs w:val="24"/>
        </w:rPr>
        <w:t>colistin</w:t>
      </w:r>
      <w:proofErr w:type="spellEnd"/>
      <w:r>
        <w:rPr>
          <w:rFonts w:ascii="Times New Roman" w:hAnsi="Times New Roman" w:cs="Times New Roman"/>
          <w:sz w:val="24"/>
          <w:szCs w:val="24"/>
        </w:rPr>
        <w:t xml:space="preserve">, 71.5% and 59.8% were sensitive to </w:t>
      </w:r>
      <w:proofErr w:type="spellStart"/>
      <w:r>
        <w:rPr>
          <w:rFonts w:ascii="Times New Roman" w:hAnsi="Times New Roman" w:cs="Times New Roman"/>
          <w:sz w:val="24"/>
          <w:szCs w:val="24"/>
        </w:rPr>
        <w:t>imipenem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cefoxitin</w:t>
      </w:r>
      <w:proofErr w:type="spellEnd"/>
      <w:r>
        <w:rPr>
          <w:rFonts w:ascii="Times New Roman" w:hAnsi="Times New Roman" w:cs="Times New Roman"/>
          <w:sz w:val="24"/>
          <w:szCs w:val="24"/>
        </w:rPr>
        <w:t xml:space="preserve"> respectively. High resistant phenotype was recorded against </w:t>
      </w:r>
      <w:proofErr w:type="spellStart"/>
      <w:r>
        <w:rPr>
          <w:rFonts w:ascii="Times New Roman" w:hAnsi="Times New Roman" w:cs="Times New Roman"/>
          <w:sz w:val="24"/>
          <w:szCs w:val="24"/>
        </w:rPr>
        <w:t>ampicillin</w:t>
      </w:r>
      <w:proofErr w:type="spellEnd"/>
      <w:r>
        <w:rPr>
          <w:rFonts w:ascii="Times New Roman" w:hAnsi="Times New Roman" w:cs="Times New Roman"/>
          <w:sz w:val="24"/>
          <w:szCs w:val="24"/>
        </w:rPr>
        <w:t xml:space="preserve"> (97.3%), amoxicillin </w:t>
      </w:r>
      <w:proofErr w:type="spellStart"/>
      <w:r>
        <w:rPr>
          <w:rFonts w:ascii="Times New Roman" w:hAnsi="Times New Roman" w:cs="Times New Roman"/>
          <w:sz w:val="24"/>
          <w:szCs w:val="24"/>
        </w:rPr>
        <w:t>clavulanate</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(82.4%), </w:t>
      </w:r>
      <w:proofErr w:type="spellStart"/>
      <w:r>
        <w:rPr>
          <w:rFonts w:ascii="Times New Roman" w:hAnsi="Times New Roman" w:cs="Times New Roman"/>
          <w:sz w:val="24"/>
          <w:szCs w:val="24"/>
        </w:rPr>
        <w:t>cephalothin</w:t>
      </w:r>
      <w:proofErr w:type="spellEnd"/>
      <w:r>
        <w:rPr>
          <w:rFonts w:ascii="Times New Roman" w:hAnsi="Times New Roman" w:cs="Times New Roman"/>
          <w:sz w:val="24"/>
          <w:szCs w:val="24"/>
        </w:rPr>
        <w:t xml:space="preserve"> (80.1%), </w:t>
      </w:r>
      <w:proofErr w:type="spellStart"/>
      <w:r>
        <w:rPr>
          <w:rFonts w:ascii="Times New Roman" w:hAnsi="Times New Roman" w:cs="Times New Roman"/>
          <w:sz w:val="24"/>
          <w:szCs w:val="24"/>
        </w:rPr>
        <w:t>cefotaxime</w:t>
      </w:r>
      <w:proofErr w:type="spellEnd"/>
      <w:r>
        <w:rPr>
          <w:rFonts w:ascii="Times New Roman" w:hAnsi="Times New Roman" w:cs="Times New Roman"/>
          <w:sz w:val="24"/>
          <w:szCs w:val="24"/>
        </w:rPr>
        <w:t xml:space="preserve"> (76.6%), </w:t>
      </w:r>
      <w:proofErr w:type="spellStart"/>
      <w:r>
        <w:rPr>
          <w:rFonts w:ascii="Times New Roman" w:hAnsi="Times New Roman" w:cs="Times New Roman"/>
          <w:sz w:val="24"/>
          <w:szCs w:val="24"/>
        </w:rPr>
        <w:t>sulfamethazine</w:t>
      </w:r>
      <w:proofErr w:type="spellEnd"/>
      <w:r>
        <w:rPr>
          <w:rFonts w:ascii="Times New Roman" w:hAnsi="Times New Roman" w:cs="Times New Roman"/>
          <w:sz w:val="24"/>
          <w:szCs w:val="24"/>
        </w:rPr>
        <w:t xml:space="preserve"> (73.4%) and </w:t>
      </w:r>
      <w:proofErr w:type="spellStart"/>
      <w:r>
        <w:rPr>
          <w:rFonts w:ascii="Times New Roman" w:hAnsi="Times New Roman" w:cs="Times New Roman"/>
          <w:sz w:val="24"/>
          <w:szCs w:val="24"/>
        </w:rPr>
        <w:t>ceftazidime</w:t>
      </w:r>
      <w:proofErr w:type="spellEnd"/>
      <w:r>
        <w:rPr>
          <w:rFonts w:ascii="Times New Roman" w:hAnsi="Times New Roman" w:cs="Times New Roman"/>
          <w:sz w:val="24"/>
          <w:szCs w:val="24"/>
        </w:rPr>
        <w:t xml:space="preserve"> (71.1%). The ESBL production was identified in 42.2% and MBL in 57.8% of the positive isolates in 57.8%. The MIC value for both </w:t>
      </w:r>
      <w:proofErr w:type="spellStart"/>
      <w:r>
        <w:rPr>
          <w:rFonts w:ascii="Times New Roman" w:hAnsi="Times New Roman" w:cs="Times New Roman"/>
          <w:sz w:val="24"/>
          <w:szCs w:val="24"/>
        </w:rPr>
        <w:t>colistin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imipenem</w:t>
      </w:r>
      <w:proofErr w:type="spellEnd"/>
      <w:r>
        <w:rPr>
          <w:rFonts w:ascii="Times New Roman" w:hAnsi="Times New Roman" w:cs="Times New Roman"/>
          <w:sz w:val="24"/>
          <w:szCs w:val="24"/>
        </w:rPr>
        <w:t xml:space="preserve"> ranged from 8-32 µg/</w:t>
      </w:r>
      <w:proofErr w:type="spellStart"/>
      <w:r>
        <w:rPr>
          <w:rFonts w:ascii="Times New Roman" w:hAnsi="Times New Roman" w:cs="Times New Roman"/>
          <w:sz w:val="24"/>
          <w:szCs w:val="24"/>
        </w:rPr>
        <w:t>mL</w:t>
      </w:r>
      <w:proofErr w:type="spellEnd"/>
      <w:r>
        <w:rPr>
          <w:rFonts w:ascii="Times New Roman" w:hAnsi="Times New Roman" w:cs="Times New Roman"/>
          <w:sz w:val="24"/>
          <w:szCs w:val="24"/>
        </w:rPr>
        <w:t xml:space="preserve">, while </w:t>
      </w:r>
      <w:proofErr w:type="spellStart"/>
      <w:r>
        <w:rPr>
          <w:rFonts w:ascii="Times New Roman" w:hAnsi="Times New Roman" w:cs="Times New Roman"/>
          <w:sz w:val="24"/>
          <w:szCs w:val="24"/>
        </w:rPr>
        <w:t>cefotaxime</w:t>
      </w:r>
      <w:proofErr w:type="spellEnd"/>
      <w:r>
        <w:rPr>
          <w:rFonts w:ascii="Times New Roman" w:hAnsi="Times New Roman" w:cs="Times New Roman"/>
          <w:sz w:val="24"/>
          <w:szCs w:val="24"/>
        </w:rPr>
        <w:t xml:space="preserve"> value ranged from 4-64 µg/ml.  All the isolates harboured </w:t>
      </w:r>
      <w:proofErr w:type="spellStart"/>
      <w:r>
        <w:rPr>
          <w:rFonts w:ascii="Times New Roman" w:hAnsi="Times New Roman" w:cs="Times New Roman"/>
          <w:i/>
          <w:iCs/>
          <w:sz w:val="24"/>
          <w:szCs w:val="24"/>
        </w:rPr>
        <w:t>blaIMP</w:t>
      </w:r>
      <w:r>
        <w:rPr>
          <w:rFonts w:ascii="Times New Roman" w:hAnsi="Times New Roman" w:cs="Times New Roman"/>
          <w:sz w:val="24"/>
          <w:szCs w:val="24"/>
        </w:rPr>
        <w:t>group</w:t>
      </w:r>
      <w:proofErr w:type="spellEnd"/>
      <w:r>
        <w:rPr>
          <w:rFonts w:ascii="Times New Roman" w:hAnsi="Times New Roman" w:cs="Times New Roman"/>
          <w:sz w:val="24"/>
          <w:szCs w:val="24"/>
        </w:rPr>
        <w:t xml:space="preserve"> while 87.5% carried </w:t>
      </w:r>
      <w:proofErr w:type="spellStart"/>
      <w:r>
        <w:rPr>
          <w:rFonts w:ascii="Times New Roman" w:hAnsi="Times New Roman" w:cs="Times New Roman"/>
          <w:i/>
          <w:iCs/>
          <w:sz w:val="24"/>
          <w:szCs w:val="24"/>
        </w:rPr>
        <w:t>blaCTX</w:t>
      </w:r>
      <w:proofErr w:type="spellEnd"/>
      <w:r>
        <w:rPr>
          <w:rFonts w:ascii="Times New Roman" w:hAnsi="Times New Roman" w:cs="Times New Roman"/>
          <w:i/>
          <w:iCs/>
          <w:sz w:val="24"/>
          <w:szCs w:val="24"/>
        </w:rPr>
        <w:t>-M</w:t>
      </w:r>
      <w:r>
        <w:rPr>
          <w:rFonts w:ascii="Times New Roman" w:hAnsi="Times New Roman" w:cs="Times New Roman"/>
          <w:sz w:val="24"/>
          <w:szCs w:val="24"/>
        </w:rPr>
        <w:t xml:space="preserve">. Class 1, 2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were detected in 87.5% strain while 25% harboured class 3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The CS of class 1, 2 and 3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revealed 7 different arrays of antibiotic resistant genes (</w:t>
      </w:r>
      <w:r>
        <w:rPr>
          <w:rFonts w:ascii="Times New Roman" w:hAnsi="Times New Roman" w:cs="Times New Roman"/>
          <w:i/>
          <w:iCs/>
          <w:sz w:val="24"/>
          <w:szCs w:val="24"/>
        </w:rPr>
        <w:t>dfrA5</w:t>
      </w:r>
      <w:r>
        <w:rPr>
          <w:rFonts w:ascii="Times New Roman" w:hAnsi="Times New Roman" w:cs="Times New Roman"/>
          <w:sz w:val="24"/>
          <w:szCs w:val="24"/>
        </w:rPr>
        <w:t xml:space="preserve">, </w:t>
      </w:r>
      <w:r>
        <w:rPr>
          <w:rFonts w:ascii="Times New Roman" w:hAnsi="Times New Roman" w:cs="Times New Roman"/>
          <w:i/>
          <w:iCs/>
          <w:sz w:val="24"/>
          <w:szCs w:val="24"/>
        </w:rPr>
        <w:t xml:space="preserve">dfrA30; aadA1, dfrA1-sat1; dfrA1-sat1; dfrA5, dfrA30; aadA2; aadA2, dfrA12 </w:t>
      </w:r>
      <w:r>
        <w:rPr>
          <w:rFonts w:ascii="Times New Roman" w:hAnsi="Times New Roman" w:cs="Times New Roman"/>
          <w:sz w:val="24"/>
          <w:szCs w:val="24"/>
        </w:rPr>
        <w:t>and</w:t>
      </w:r>
      <w:r>
        <w:rPr>
          <w:rFonts w:ascii="Times New Roman" w:hAnsi="Times New Roman" w:cs="Times New Roman"/>
          <w:i/>
          <w:iCs/>
          <w:sz w:val="24"/>
          <w:szCs w:val="24"/>
        </w:rPr>
        <w:t xml:space="preserve"> dfrA5, dfrA30, aadA2, aadA2, dfrA12</w:t>
      </w:r>
      <w:r>
        <w:rPr>
          <w:rFonts w:ascii="Times New Roman" w:hAnsi="Times New Roman" w:cs="Times New Roman"/>
          <w:sz w:val="24"/>
          <w:szCs w:val="24"/>
        </w:rPr>
        <w:t xml:space="preserve">). This study revealed high prevalence of class 1 and 2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carrying gene cassettes and the presence of class 3 </w:t>
      </w:r>
      <w:proofErr w:type="spellStart"/>
      <w:r>
        <w:rPr>
          <w:rFonts w:ascii="Times New Roman" w:hAnsi="Times New Roman" w:cs="Times New Roman"/>
          <w:sz w:val="24"/>
          <w:szCs w:val="24"/>
        </w:rPr>
        <w:t>integrons</w:t>
      </w:r>
      <w:proofErr w:type="spellEnd"/>
      <w:r>
        <w:rPr>
          <w:rFonts w:ascii="Times New Roman" w:hAnsi="Times New Roman" w:cs="Times New Roman"/>
          <w:sz w:val="24"/>
          <w:szCs w:val="24"/>
        </w:rPr>
        <w:t xml:space="preserve"> among multi-drug resistant </w:t>
      </w:r>
      <w:proofErr w:type="spellStart"/>
      <w:r>
        <w:rPr>
          <w:rFonts w:ascii="Times New Roman" w:hAnsi="Times New Roman" w:cs="Times New Roman"/>
          <w:sz w:val="24"/>
          <w:szCs w:val="24"/>
        </w:rPr>
        <w:t>Klebsiella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pneumoniae</w:t>
      </w:r>
      <w:proofErr w:type="spellEnd"/>
      <w:r>
        <w:rPr>
          <w:rFonts w:ascii="Times New Roman" w:hAnsi="Times New Roman" w:cs="Times New Roman"/>
          <w:sz w:val="24"/>
          <w:szCs w:val="24"/>
        </w:rPr>
        <w:t xml:space="preserve"> harbouring </w:t>
      </w:r>
      <w:proofErr w:type="spellStart"/>
      <w:r>
        <w:rPr>
          <w:rFonts w:ascii="Times New Roman" w:hAnsi="Times New Roman" w:cs="Times New Roman"/>
          <w:i/>
          <w:iCs/>
          <w:sz w:val="24"/>
          <w:szCs w:val="24"/>
        </w:rPr>
        <w:t>blaCTX</w:t>
      </w:r>
      <w:proofErr w:type="spellEnd"/>
      <w:r>
        <w:rPr>
          <w:rFonts w:ascii="Times New Roman" w:hAnsi="Times New Roman" w:cs="Times New Roman"/>
          <w:i/>
          <w:iCs/>
          <w:sz w:val="24"/>
          <w:szCs w:val="24"/>
        </w:rPr>
        <w:t>-M</w:t>
      </w:r>
      <w:r>
        <w:rPr>
          <w:rFonts w:ascii="Times New Roman" w:hAnsi="Times New Roman" w:cs="Times New Roman"/>
          <w:sz w:val="24"/>
          <w:szCs w:val="24"/>
        </w:rPr>
        <w:t xml:space="preserve"> and </w:t>
      </w:r>
      <w:proofErr w:type="spellStart"/>
      <w:r>
        <w:rPr>
          <w:rFonts w:ascii="Times New Roman" w:hAnsi="Times New Roman" w:cs="Times New Roman"/>
          <w:i/>
          <w:iCs/>
          <w:sz w:val="24"/>
          <w:szCs w:val="24"/>
        </w:rPr>
        <w:t>blaIMP</w:t>
      </w:r>
      <w:proofErr w:type="spellEnd"/>
      <w:r>
        <w:rPr>
          <w:rFonts w:ascii="Times New Roman" w:hAnsi="Times New Roman" w:cs="Times New Roman"/>
          <w:sz w:val="24"/>
          <w:szCs w:val="24"/>
        </w:rPr>
        <w:t xml:space="preserve"> genes in the studied tertiary hospitals in Nigeria.</w:t>
      </w:r>
    </w:p>
    <w:p w:rsidR="007D166F" w:rsidRDefault="007D166F"/>
    <w:sectPr w:rsidR="007D166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20"/>
  <w:characterSpacingControl w:val="doNotCompress"/>
  <w:compat/>
  <w:rsids>
    <w:rsidRoot w:val="007D166F"/>
    <w:rsid w:val="007D166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66F"/>
    <w:rPr>
      <w:lang w:val="en-GB"/>
    </w:rPr>
  </w:style>
  <w:style w:type="paragraph" w:styleId="Heading1">
    <w:name w:val="heading 1"/>
    <w:basedOn w:val="Normal"/>
    <w:next w:val="Normal"/>
    <w:link w:val="Heading1Char"/>
    <w:uiPriority w:val="9"/>
    <w:qFormat/>
    <w:rsid w:val="007D166F"/>
    <w:pPr>
      <w:keepNext/>
      <w:keepLines/>
      <w:spacing w:before="240" w:after="0" w:line="360" w:lineRule="auto"/>
      <w:jc w:val="both"/>
      <w:outlineLvl w:val="0"/>
    </w:pPr>
    <w:rPr>
      <w:rFonts w:ascii="Times New Roman" w:eastAsiaTheme="majorEastAsia" w:hAnsi="Times New Roman" w:cstheme="majorBidi"/>
      <w:b/>
      <w:color w:val="000000" w:themeColor="text1"/>
      <w:sz w:val="24"/>
      <w:szCs w:val="32"/>
    </w:rPr>
  </w:style>
  <w:style w:type="paragraph" w:styleId="Heading3">
    <w:name w:val="heading 3"/>
    <w:basedOn w:val="Normal"/>
    <w:next w:val="Normal"/>
    <w:link w:val="Heading3Char"/>
    <w:uiPriority w:val="9"/>
    <w:unhideWhenUsed/>
    <w:qFormat/>
    <w:rsid w:val="007D166F"/>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166F"/>
    <w:rPr>
      <w:rFonts w:ascii="Times New Roman" w:eastAsiaTheme="majorEastAsia" w:hAnsi="Times New Roman" w:cstheme="majorBidi"/>
      <w:b/>
      <w:color w:val="000000" w:themeColor="text1"/>
      <w:sz w:val="24"/>
      <w:szCs w:val="32"/>
      <w:lang w:val="en-GB"/>
    </w:rPr>
  </w:style>
  <w:style w:type="character" w:customStyle="1" w:styleId="Heading3Char">
    <w:name w:val="Heading 3 Char"/>
    <w:basedOn w:val="DefaultParagraphFont"/>
    <w:link w:val="Heading3"/>
    <w:uiPriority w:val="9"/>
    <w:rsid w:val="007D166F"/>
    <w:rPr>
      <w:rFonts w:ascii="Times New Roman" w:eastAsia="Times New Roman" w:hAnsi="Times New Roman" w:cs="Times New Roman"/>
      <w:b/>
      <w:bCs/>
      <w:sz w:val="27"/>
      <w:szCs w:val="27"/>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528</Words>
  <Characters>3011</Characters>
  <Application>Microsoft Office Word</Application>
  <DocSecurity>0</DocSecurity>
  <Lines>25</Lines>
  <Paragraphs>7</Paragraphs>
  <ScaleCrop>false</ScaleCrop>
  <Company/>
  <LinksUpToDate>false</LinksUpToDate>
  <CharactersWithSpaces>3532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2025-12-08T08:02:00Z</dcterms:created>
  <dcterms:modified xsi:type="dcterms:W3CDTF">2025-12-08T08:03:00Z</dcterms:modified>
</cp:coreProperties>
</file>