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5D48" w:rsidRDefault="00F75D48" w:rsidP="00F75D48">
      <w:pPr>
        <w:jc w:val="center"/>
        <w:rPr>
          <w:b/>
          <w:bCs/>
        </w:rPr>
      </w:pPr>
    </w:p>
    <w:p w:rsidR="00F75D48" w:rsidRPr="009016CA" w:rsidRDefault="00F75D48" w:rsidP="00F75D48">
      <w:pPr>
        <w:jc w:val="center"/>
        <w:rPr>
          <w:rFonts w:ascii="Times New Roman" w:hAnsi="Times New Roman" w:cs="Times New Roman"/>
          <w:b/>
          <w:sz w:val="24"/>
          <w:szCs w:val="24"/>
        </w:rPr>
      </w:pPr>
      <w:r w:rsidRPr="009016CA">
        <w:rPr>
          <w:rFonts w:ascii="Times New Roman" w:hAnsi="Times New Roman" w:cs="Times New Roman"/>
          <w:b/>
          <w:sz w:val="24"/>
          <w:szCs w:val="24"/>
        </w:rPr>
        <w:t>EFFECTS OF RURAL CASSAVA-BASED FARMERS’ MICRONUTRIENT INTAKE ON LABOUR PRODUCTIVITY IN OGUN AND ONDO STATES, SOUTH WEST, NIGERIA</w:t>
      </w:r>
    </w:p>
    <w:p w:rsidR="00F75D48" w:rsidRPr="009016CA" w:rsidRDefault="00F75D48" w:rsidP="00F75D48">
      <w:pPr>
        <w:jc w:val="center"/>
        <w:rPr>
          <w:rFonts w:ascii="Times New Roman" w:hAnsi="Times New Roman" w:cs="Times New Roman"/>
          <w:b/>
          <w:sz w:val="24"/>
          <w:szCs w:val="24"/>
        </w:rPr>
      </w:pPr>
    </w:p>
    <w:p w:rsidR="00F75D48" w:rsidRPr="009016CA" w:rsidRDefault="00F75D48" w:rsidP="00F75D48">
      <w:pPr>
        <w:jc w:val="center"/>
        <w:rPr>
          <w:rFonts w:ascii="Times New Roman" w:hAnsi="Times New Roman" w:cs="Times New Roman"/>
          <w:b/>
          <w:sz w:val="24"/>
          <w:szCs w:val="24"/>
        </w:rPr>
      </w:pPr>
      <w:r w:rsidRPr="009016CA">
        <w:rPr>
          <w:rFonts w:ascii="Times New Roman" w:hAnsi="Times New Roman" w:cs="Times New Roman"/>
          <w:b/>
          <w:sz w:val="24"/>
          <w:szCs w:val="24"/>
        </w:rPr>
        <w:t>BY</w:t>
      </w:r>
    </w:p>
    <w:p w:rsidR="00F75D48" w:rsidRPr="009016CA" w:rsidRDefault="00F75D48" w:rsidP="00F75D48">
      <w:pPr>
        <w:jc w:val="center"/>
        <w:rPr>
          <w:rFonts w:ascii="Times New Roman" w:hAnsi="Times New Roman" w:cs="Times New Roman"/>
          <w:b/>
          <w:sz w:val="24"/>
          <w:szCs w:val="24"/>
        </w:rPr>
      </w:pPr>
      <w:r w:rsidRPr="009016CA">
        <w:rPr>
          <w:rFonts w:ascii="Times New Roman" w:hAnsi="Times New Roman" w:cs="Times New Roman"/>
          <w:b/>
          <w:sz w:val="24"/>
          <w:szCs w:val="24"/>
        </w:rPr>
        <w:t>AKINADE, AKINJIDE ISAAC (PG 16/0013)</w:t>
      </w:r>
    </w:p>
    <w:p w:rsidR="00F75D48" w:rsidRPr="009016CA" w:rsidRDefault="00F75D48" w:rsidP="00F75D48">
      <w:pPr>
        <w:jc w:val="center"/>
        <w:rPr>
          <w:rFonts w:ascii="Times New Roman" w:hAnsi="Times New Roman" w:cs="Times New Roman"/>
          <w:b/>
          <w:sz w:val="24"/>
          <w:szCs w:val="24"/>
        </w:rPr>
      </w:pPr>
      <w:r w:rsidRPr="009016CA">
        <w:rPr>
          <w:rFonts w:ascii="Times New Roman" w:hAnsi="Times New Roman" w:cs="Times New Roman"/>
          <w:b/>
          <w:sz w:val="24"/>
          <w:szCs w:val="24"/>
        </w:rPr>
        <w:t>B.AGRIC. (FUNAAB, ABEOKUTA), MSC. (IBADAN)</w:t>
      </w:r>
    </w:p>
    <w:p w:rsidR="00F75D48" w:rsidRPr="009016CA" w:rsidRDefault="00F75D48" w:rsidP="00F75D48">
      <w:pPr>
        <w:jc w:val="center"/>
        <w:rPr>
          <w:rFonts w:ascii="Times New Roman" w:hAnsi="Times New Roman" w:cs="Times New Roman"/>
          <w:b/>
          <w:sz w:val="24"/>
          <w:szCs w:val="24"/>
        </w:rPr>
      </w:pPr>
    </w:p>
    <w:p w:rsidR="00F75D48" w:rsidRPr="009016CA" w:rsidRDefault="00F75D48" w:rsidP="00F75D48">
      <w:pPr>
        <w:jc w:val="center"/>
        <w:rPr>
          <w:rFonts w:ascii="Times New Roman" w:hAnsi="Times New Roman" w:cs="Times New Roman"/>
          <w:b/>
          <w:sz w:val="24"/>
          <w:szCs w:val="24"/>
        </w:rPr>
      </w:pPr>
    </w:p>
    <w:p w:rsidR="00F75D48" w:rsidRPr="009016CA" w:rsidRDefault="00F75D48" w:rsidP="00F75D48">
      <w:pPr>
        <w:jc w:val="center"/>
        <w:rPr>
          <w:rFonts w:ascii="Times New Roman" w:hAnsi="Times New Roman" w:cs="Times New Roman"/>
          <w:b/>
          <w:sz w:val="24"/>
          <w:szCs w:val="24"/>
        </w:rPr>
      </w:pPr>
    </w:p>
    <w:p w:rsidR="00F75D48" w:rsidRPr="009016CA" w:rsidRDefault="00F75D48" w:rsidP="00F75D48">
      <w:pPr>
        <w:jc w:val="center"/>
        <w:rPr>
          <w:rFonts w:ascii="Times New Roman" w:hAnsi="Times New Roman" w:cs="Times New Roman"/>
          <w:b/>
          <w:sz w:val="24"/>
          <w:szCs w:val="24"/>
        </w:rPr>
      </w:pPr>
    </w:p>
    <w:p w:rsidR="00F75D48" w:rsidRPr="009016CA" w:rsidRDefault="00F75D48" w:rsidP="00F75D48">
      <w:pPr>
        <w:jc w:val="center"/>
        <w:rPr>
          <w:rFonts w:ascii="Times New Roman" w:hAnsi="Times New Roman" w:cs="Times New Roman"/>
          <w:b/>
          <w:sz w:val="24"/>
          <w:szCs w:val="24"/>
        </w:rPr>
      </w:pPr>
    </w:p>
    <w:p w:rsidR="00F75D48" w:rsidRPr="009016CA" w:rsidRDefault="00F75D48" w:rsidP="00F75D48">
      <w:pPr>
        <w:jc w:val="center"/>
        <w:rPr>
          <w:rFonts w:ascii="Times New Roman" w:hAnsi="Times New Roman" w:cs="Times New Roman"/>
          <w:b/>
          <w:sz w:val="24"/>
          <w:szCs w:val="24"/>
        </w:rPr>
      </w:pPr>
    </w:p>
    <w:p w:rsidR="00F75D48" w:rsidRPr="009016CA" w:rsidRDefault="00F75D48" w:rsidP="00F75D48">
      <w:pPr>
        <w:jc w:val="both"/>
        <w:rPr>
          <w:rFonts w:ascii="Times New Roman" w:hAnsi="Times New Roman" w:cs="Times New Roman"/>
          <w:b/>
          <w:sz w:val="24"/>
          <w:szCs w:val="24"/>
        </w:rPr>
      </w:pPr>
      <w:r w:rsidRPr="009016CA">
        <w:rPr>
          <w:rFonts w:ascii="Times New Roman" w:hAnsi="Times New Roman" w:cs="Times New Roman"/>
          <w:b/>
          <w:sz w:val="24"/>
          <w:szCs w:val="24"/>
        </w:rPr>
        <w:t>A Thesis submitted to the Department of Agricultural Economics and Farm Management, College of Agricultural Management and Rural Development, Federal University of Agriculture, Abeokuta in partial fulfillment of the requirements for the award of degree of Doctor of Philosophy in Consumer Welfare and Food Economics.</w:t>
      </w:r>
    </w:p>
    <w:p w:rsidR="00F75D48" w:rsidRPr="009C6428" w:rsidRDefault="00F75D48" w:rsidP="00F75D48">
      <w:pPr>
        <w:jc w:val="center"/>
        <w:rPr>
          <w:rFonts w:ascii="Times New Roman" w:hAnsi="Times New Roman" w:cs="Times New Roman"/>
          <w:sz w:val="24"/>
          <w:szCs w:val="24"/>
        </w:rPr>
      </w:pPr>
    </w:p>
    <w:p w:rsidR="00F75D48" w:rsidRPr="009C6428" w:rsidRDefault="00F75D48" w:rsidP="00F75D48">
      <w:pPr>
        <w:jc w:val="center"/>
        <w:rPr>
          <w:rFonts w:ascii="Times New Roman" w:hAnsi="Times New Roman" w:cs="Times New Roman"/>
          <w:sz w:val="24"/>
          <w:szCs w:val="24"/>
        </w:rPr>
      </w:pPr>
    </w:p>
    <w:p w:rsidR="00F75D48" w:rsidRPr="009C6428" w:rsidRDefault="00F75D48" w:rsidP="00F75D48">
      <w:pPr>
        <w:jc w:val="center"/>
        <w:rPr>
          <w:rFonts w:ascii="Times New Roman" w:hAnsi="Times New Roman" w:cs="Times New Roman"/>
          <w:sz w:val="24"/>
          <w:szCs w:val="24"/>
        </w:rPr>
      </w:pPr>
      <w:r w:rsidRPr="009C6428">
        <w:rPr>
          <w:rFonts w:ascii="Times New Roman" w:hAnsi="Times New Roman" w:cs="Times New Roman"/>
          <w:sz w:val="24"/>
          <w:szCs w:val="24"/>
        </w:rPr>
        <w:t>August, 2024</w:t>
      </w:r>
    </w:p>
    <w:p w:rsidR="00F75D48" w:rsidRPr="009C6428" w:rsidRDefault="00F75D48" w:rsidP="00F75D48">
      <w:pPr>
        <w:jc w:val="center"/>
        <w:rPr>
          <w:rFonts w:ascii="Times New Roman" w:hAnsi="Times New Roman" w:cs="Times New Roman"/>
          <w:sz w:val="24"/>
          <w:szCs w:val="24"/>
        </w:rPr>
      </w:pPr>
    </w:p>
    <w:p w:rsidR="00F75D48" w:rsidRPr="009C6428" w:rsidRDefault="00F75D48" w:rsidP="00F75D48">
      <w:pPr>
        <w:jc w:val="center"/>
        <w:rPr>
          <w:rFonts w:ascii="Times New Roman" w:hAnsi="Times New Roman" w:cs="Times New Roman"/>
          <w:sz w:val="24"/>
          <w:szCs w:val="24"/>
        </w:rPr>
      </w:pPr>
    </w:p>
    <w:p w:rsidR="00F75D48" w:rsidRPr="009C6428" w:rsidRDefault="00F75D48" w:rsidP="00F75D48">
      <w:pPr>
        <w:jc w:val="center"/>
        <w:rPr>
          <w:rFonts w:ascii="Times New Roman" w:hAnsi="Times New Roman" w:cs="Times New Roman"/>
          <w:sz w:val="24"/>
          <w:szCs w:val="24"/>
        </w:rPr>
      </w:pPr>
    </w:p>
    <w:p w:rsidR="00F75D48" w:rsidRPr="009C6428" w:rsidRDefault="00F75D48" w:rsidP="00F75D48">
      <w:pPr>
        <w:jc w:val="center"/>
        <w:rPr>
          <w:rFonts w:ascii="Times New Roman" w:hAnsi="Times New Roman" w:cs="Times New Roman"/>
          <w:sz w:val="24"/>
          <w:szCs w:val="24"/>
        </w:rPr>
      </w:pPr>
    </w:p>
    <w:p w:rsidR="00F75D48" w:rsidRPr="009C6428" w:rsidRDefault="00F75D48" w:rsidP="00F75D48">
      <w:pPr>
        <w:jc w:val="center"/>
        <w:rPr>
          <w:rFonts w:ascii="Times New Roman" w:hAnsi="Times New Roman" w:cs="Times New Roman"/>
          <w:sz w:val="24"/>
          <w:szCs w:val="24"/>
        </w:rPr>
      </w:pPr>
    </w:p>
    <w:p w:rsidR="00F75D48" w:rsidRPr="009C6428" w:rsidRDefault="00F75D48" w:rsidP="00F75D48">
      <w:pPr>
        <w:jc w:val="center"/>
        <w:rPr>
          <w:rFonts w:ascii="Times New Roman" w:hAnsi="Times New Roman" w:cs="Times New Roman"/>
          <w:sz w:val="24"/>
          <w:szCs w:val="24"/>
        </w:rPr>
      </w:pPr>
    </w:p>
    <w:p w:rsidR="00F75D48" w:rsidRPr="009016CA" w:rsidRDefault="00F75D48" w:rsidP="00F75D48">
      <w:pPr>
        <w:jc w:val="center"/>
        <w:rPr>
          <w:rFonts w:ascii="Times New Roman" w:hAnsi="Times New Roman" w:cs="Times New Roman"/>
          <w:b/>
          <w:sz w:val="24"/>
          <w:szCs w:val="24"/>
        </w:rPr>
      </w:pPr>
      <w:r w:rsidRPr="009016CA">
        <w:rPr>
          <w:rFonts w:ascii="Times New Roman" w:hAnsi="Times New Roman" w:cs="Times New Roman"/>
          <w:b/>
          <w:sz w:val="24"/>
          <w:szCs w:val="24"/>
        </w:rPr>
        <w:lastRenderedPageBreak/>
        <w:t>ABSTRACT</w:t>
      </w:r>
    </w:p>
    <w:p w:rsidR="00F75D48" w:rsidRPr="004228F1" w:rsidRDefault="00F75D48" w:rsidP="00F75D48">
      <w:pPr>
        <w:jc w:val="both"/>
        <w:rPr>
          <w:rFonts w:ascii="Times New Roman" w:hAnsi="Times New Roman" w:cs="Times New Roman"/>
          <w:sz w:val="24"/>
          <w:szCs w:val="24"/>
        </w:rPr>
      </w:pPr>
      <w:r w:rsidRPr="004228F1">
        <w:rPr>
          <w:rFonts w:ascii="Times New Roman" w:hAnsi="Times New Roman" w:cs="Times New Roman"/>
          <w:sz w:val="24"/>
          <w:szCs w:val="24"/>
        </w:rPr>
        <w:t xml:space="preserve">Studies on micronutrient intake in relation to </w:t>
      </w:r>
      <w:proofErr w:type="spellStart"/>
      <w:r w:rsidRPr="004228F1">
        <w:rPr>
          <w:rFonts w:ascii="Times New Roman" w:hAnsi="Times New Roman" w:cs="Times New Roman"/>
          <w:sz w:val="24"/>
          <w:szCs w:val="24"/>
        </w:rPr>
        <w:t>labour</w:t>
      </w:r>
      <w:proofErr w:type="spellEnd"/>
      <w:r w:rsidRPr="004228F1">
        <w:rPr>
          <w:rFonts w:ascii="Times New Roman" w:hAnsi="Times New Roman" w:cs="Times New Roman"/>
          <w:sz w:val="24"/>
          <w:szCs w:val="24"/>
        </w:rPr>
        <w:t xml:space="preserve"> productivity are very important in Nigeria as efforts are geared towards sustainability of food and nutritional security for her teaming population. This study assessed the effects of micronutrient intake on </w:t>
      </w:r>
      <w:proofErr w:type="spellStart"/>
      <w:r w:rsidRPr="004228F1">
        <w:rPr>
          <w:rFonts w:ascii="Times New Roman" w:hAnsi="Times New Roman" w:cs="Times New Roman"/>
          <w:sz w:val="24"/>
          <w:szCs w:val="24"/>
        </w:rPr>
        <w:t>labour</w:t>
      </w:r>
      <w:proofErr w:type="spellEnd"/>
      <w:r w:rsidRPr="004228F1">
        <w:rPr>
          <w:rFonts w:ascii="Times New Roman" w:hAnsi="Times New Roman" w:cs="Times New Roman"/>
          <w:sz w:val="24"/>
          <w:szCs w:val="24"/>
        </w:rPr>
        <w:t xml:space="preserve"> productivity among rural cassava-based farmers in </w:t>
      </w:r>
      <w:proofErr w:type="spellStart"/>
      <w:r w:rsidRPr="004228F1">
        <w:rPr>
          <w:rFonts w:ascii="Times New Roman" w:hAnsi="Times New Roman" w:cs="Times New Roman"/>
          <w:sz w:val="24"/>
          <w:szCs w:val="24"/>
        </w:rPr>
        <w:t>Ogun</w:t>
      </w:r>
      <w:proofErr w:type="spellEnd"/>
      <w:r w:rsidRPr="004228F1">
        <w:rPr>
          <w:rFonts w:ascii="Times New Roman" w:hAnsi="Times New Roman" w:cs="Times New Roman"/>
          <w:sz w:val="24"/>
          <w:szCs w:val="24"/>
        </w:rPr>
        <w:t xml:space="preserve"> and </w:t>
      </w:r>
      <w:proofErr w:type="spellStart"/>
      <w:r w:rsidRPr="004228F1">
        <w:rPr>
          <w:rFonts w:ascii="Times New Roman" w:hAnsi="Times New Roman" w:cs="Times New Roman"/>
          <w:sz w:val="24"/>
          <w:szCs w:val="24"/>
        </w:rPr>
        <w:t>Ondo</w:t>
      </w:r>
      <w:proofErr w:type="spellEnd"/>
      <w:r w:rsidRPr="004228F1">
        <w:rPr>
          <w:rFonts w:ascii="Times New Roman" w:hAnsi="Times New Roman" w:cs="Times New Roman"/>
          <w:sz w:val="24"/>
          <w:szCs w:val="24"/>
        </w:rPr>
        <w:t xml:space="preserve"> States, Nigeria. A multi-stage sampling procedure was used to select 320 cassava-based farmers for the study. A structured questionnaire was utilized to elicit information from the respondents on their socio-economic characteristics, dietary intake, man-hour and cassava output. The micronutrients examined were categorized into four, namely; nutrients of public health importance (</w:t>
      </w:r>
      <w:proofErr w:type="spellStart"/>
      <w:r>
        <w:rPr>
          <w:rFonts w:ascii="Times New Roman" w:hAnsi="Times New Roman" w:cs="Times New Roman"/>
          <w:sz w:val="24"/>
          <w:szCs w:val="24"/>
        </w:rPr>
        <w:t>Vit</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A, Iron, Zinc and </w:t>
      </w:r>
      <w:proofErr w:type="spellStart"/>
      <w:r>
        <w:rPr>
          <w:rFonts w:ascii="Times New Roman" w:hAnsi="Times New Roman" w:cs="Times New Roman"/>
          <w:sz w:val="24"/>
          <w:szCs w:val="24"/>
        </w:rPr>
        <w:t>Folate</w:t>
      </w:r>
      <w:proofErr w:type="spellEnd"/>
      <w:r>
        <w:rPr>
          <w:rFonts w:ascii="Times New Roman" w:hAnsi="Times New Roman" w:cs="Times New Roman"/>
          <w:sz w:val="24"/>
          <w:szCs w:val="24"/>
        </w:rPr>
        <w:t xml:space="preserve">), </w:t>
      </w:r>
      <w:r w:rsidRPr="004228F1">
        <w:rPr>
          <w:rFonts w:ascii="Times New Roman" w:hAnsi="Times New Roman" w:cs="Times New Roman"/>
          <w:sz w:val="24"/>
          <w:szCs w:val="24"/>
        </w:rPr>
        <w:t xml:space="preserve">nutrients needed for bone formation (Magnesium, Phosphorus, </w:t>
      </w:r>
      <w:proofErr w:type="spellStart"/>
      <w:r w:rsidRPr="004228F1">
        <w:rPr>
          <w:rFonts w:ascii="Times New Roman" w:hAnsi="Times New Roman" w:cs="Times New Roman"/>
          <w:sz w:val="24"/>
          <w:szCs w:val="24"/>
        </w:rPr>
        <w:t>Vit.D</w:t>
      </w:r>
      <w:proofErr w:type="spellEnd"/>
      <w:r w:rsidRPr="004228F1">
        <w:rPr>
          <w:rFonts w:ascii="Times New Roman" w:hAnsi="Times New Roman" w:cs="Times New Roman"/>
          <w:sz w:val="24"/>
          <w:szCs w:val="24"/>
        </w:rPr>
        <w:t xml:space="preserve">, Calcium and </w:t>
      </w:r>
      <w:proofErr w:type="spellStart"/>
      <w:r w:rsidRPr="004228F1">
        <w:rPr>
          <w:rFonts w:ascii="Times New Roman" w:hAnsi="Times New Roman" w:cs="Times New Roman"/>
          <w:sz w:val="24"/>
          <w:szCs w:val="24"/>
        </w:rPr>
        <w:t>Vit</w:t>
      </w:r>
      <w:proofErr w:type="spellEnd"/>
      <w:r w:rsidRPr="004228F1">
        <w:rPr>
          <w:rFonts w:ascii="Times New Roman" w:hAnsi="Times New Roman" w:cs="Times New Roman"/>
          <w:sz w:val="24"/>
          <w:szCs w:val="24"/>
        </w:rPr>
        <w:t>.</w:t>
      </w:r>
      <w:proofErr w:type="gramEnd"/>
      <w:r w:rsidRPr="004228F1">
        <w:rPr>
          <w:rFonts w:ascii="Times New Roman" w:hAnsi="Times New Roman" w:cs="Times New Roman"/>
          <w:sz w:val="24"/>
          <w:szCs w:val="24"/>
        </w:rPr>
        <w:t xml:space="preserve"> C), nutrients needed for nervous system (Vitamins B1, B2, B3, B5, B6 and B7, and anti-oxidants (</w:t>
      </w:r>
      <w:proofErr w:type="spellStart"/>
      <w:proofErr w:type="gramStart"/>
      <w:r w:rsidRPr="004228F1">
        <w:rPr>
          <w:rFonts w:ascii="Times New Roman" w:hAnsi="Times New Roman" w:cs="Times New Roman"/>
          <w:sz w:val="24"/>
          <w:szCs w:val="24"/>
        </w:rPr>
        <w:t>Vit.E</w:t>
      </w:r>
      <w:proofErr w:type="spellEnd"/>
      <w:r w:rsidRPr="004228F1">
        <w:rPr>
          <w:rFonts w:ascii="Times New Roman" w:hAnsi="Times New Roman" w:cs="Times New Roman"/>
          <w:sz w:val="24"/>
          <w:szCs w:val="24"/>
        </w:rPr>
        <w:t>(</w:t>
      </w:r>
      <w:proofErr w:type="gramEnd"/>
      <w:r w:rsidRPr="004228F1">
        <w:rPr>
          <w:rFonts w:ascii="Times New Roman" w:hAnsi="Times New Roman" w:cs="Times New Roman"/>
          <w:sz w:val="24"/>
          <w:szCs w:val="24"/>
        </w:rPr>
        <w:t xml:space="preserve">equivalent), </w:t>
      </w:r>
      <w:proofErr w:type="spellStart"/>
      <w:r w:rsidRPr="004228F1">
        <w:rPr>
          <w:rFonts w:ascii="Times New Roman" w:hAnsi="Times New Roman" w:cs="Times New Roman"/>
          <w:sz w:val="24"/>
          <w:szCs w:val="24"/>
        </w:rPr>
        <w:t>Vit.E</w:t>
      </w:r>
      <w:proofErr w:type="spellEnd"/>
      <w:r w:rsidRPr="004228F1">
        <w:rPr>
          <w:rFonts w:ascii="Times New Roman" w:hAnsi="Times New Roman" w:cs="Times New Roman"/>
          <w:sz w:val="24"/>
          <w:szCs w:val="24"/>
        </w:rPr>
        <w:t xml:space="preserve"> and Copper). Data were analyzed with frequency counts, </w:t>
      </w:r>
      <w:proofErr w:type="gramStart"/>
      <w:r w:rsidRPr="004228F1">
        <w:rPr>
          <w:rFonts w:ascii="Times New Roman" w:hAnsi="Times New Roman" w:cs="Times New Roman"/>
          <w:sz w:val="24"/>
          <w:szCs w:val="24"/>
        </w:rPr>
        <w:t>percentages,</w:t>
      </w:r>
      <w:proofErr w:type="gramEnd"/>
      <w:r w:rsidRPr="004228F1">
        <w:rPr>
          <w:rFonts w:ascii="Times New Roman" w:hAnsi="Times New Roman" w:cs="Times New Roman"/>
          <w:sz w:val="24"/>
          <w:szCs w:val="24"/>
        </w:rPr>
        <w:t xml:space="preserve"> mean, standard deviation, Ordered </w:t>
      </w:r>
      <w:proofErr w:type="spellStart"/>
      <w:r w:rsidRPr="004228F1">
        <w:rPr>
          <w:rFonts w:ascii="Times New Roman" w:hAnsi="Times New Roman" w:cs="Times New Roman"/>
          <w:sz w:val="24"/>
          <w:szCs w:val="24"/>
        </w:rPr>
        <w:t>Logit</w:t>
      </w:r>
      <w:proofErr w:type="spellEnd"/>
      <w:r w:rsidRPr="004228F1">
        <w:rPr>
          <w:rFonts w:ascii="Times New Roman" w:hAnsi="Times New Roman" w:cs="Times New Roman"/>
          <w:sz w:val="24"/>
          <w:szCs w:val="24"/>
        </w:rPr>
        <w:t xml:space="preserve"> Regression, Multivariate </w:t>
      </w:r>
      <w:proofErr w:type="spellStart"/>
      <w:r w:rsidRPr="004228F1">
        <w:rPr>
          <w:rFonts w:ascii="Times New Roman" w:hAnsi="Times New Roman" w:cs="Times New Roman"/>
          <w:sz w:val="24"/>
          <w:szCs w:val="24"/>
        </w:rPr>
        <w:t>Probit</w:t>
      </w:r>
      <w:proofErr w:type="spellEnd"/>
      <w:r w:rsidRPr="004228F1">
        <w:rPr>
          <w:rFonts w:ascii="Times New Roman" w:hAnsi="Times New Roman" w:cs="Times New Roman"/>
          <w:sz w:val="24"/>
          <w:szCs w:val="24"/>
        </w:rPr>
        <w:t xml:space="preserve"> Regression (MVPR), Ordinary Least Square (OLS) Multiple Regression model and Food Consumption Score (FCS). </w:t>
      </w:r>
      <w:proofErr w:type="spellStart"/>
      <w:r w:rsidRPr="004228F1">
        <w:rPr>
          <w:rFonts w:ascii="Times New Roman" w:hAnsi="Times New Roman" w:cs="Times New Roman"/>
          <w:sz w:val="24"/>
          <w:szCs w:val="24"/>
        </w:rPr>
        <w:t>Nutrisurvey</w:t>
      </w:r>
      <w:proofErr w:type="spellEnd"/>
      <w:r w:rsidRPr="004228F1">
        <w:rPr>
          <w:rFonts w:ascii="Times New Roman" w:hAnsi="Times New Roman" w:cs="Times New Roman"/>
          <w:sz w:val="24"/>
          <w:szCs w:val="24"/>
        </w:rPr>
        <w:t xml:space="preserve"> excel software was used to </w:t>
      </w:r>
      <w:proofErr w:type="spellStart"/>
      <w:r w:rsidRPr="004228F1">
        <w:rPr>
          <w:rFonts w:ascii="Times New Roman" w:hAnsi="Times New Roman" w:cs="Times New Roman"/>
          <w:sz w:val="24"/>
          <w:szCs w:val="24"/>
        </w:rPr>
        <w:t>analyse</w:t>
      </w:r>
      <w:proofErr w:type="spellEnd"/>
      <w:r w:rsidRPr="004228F1">
        <w:rPr>
          <w:rFonts w:ascii="Times New Roman" w:hAnsi="Times New Roman" w:cs="Times New Roman"/>
          <w:sz w:val="24"/>
          <w:szCs w:val="24"/>
        </w:rPr>
        <w:t xml:space="preserve"> the micronutrient intake. Results reveal that 85.3% of the respondents were male, 36.3% had secondary education, 35.2% had access to credit, 48.7% had extension visits, 23.4% were nutritionally aware and 83.2% had increase in dietary intake during raining season with a mean age, household size, monthly income and monthly expenditure on non-food of 48 years, 6 persons, ₦83,968.05 and ₦10,267.73 respectively. Furthermore, 23.0% of the respondents had adequate micronutrient intake and all (100.0%) fell short of the micronutrients’ daily recommended allowance. Most (73.0%) were on the borderline, while 13.0% and 14.0% fell within the poor and acceptable regions of food consumption score. The profiling of productivity on micronutrient intake reveal that the average productivity is higher among cassava-based farmers that are adequate in nutrients needed for bone formation (505.89Kg/man-day) followed by anti-oxidants(466.28Kg/man-day), nutrients of public health importance (405.32Kg/man-day and nervous system (407.61Kg/man-day). The determinants of cassava-based farmers’ dietary intake are non-food expenditure (β=-6.66E-06, p&lt;0.01), household size (β=-0.088, p&lt;0.01), and season (β= 0.123, p&lt;0.01). The results of MVPR show that household size (β = -0.024, p&lt;0.01), educational level (β=-0.085, p&lt;0.01), monthly income (β =0.063,p&lt;0.05),credit access (β=0.032, p&lt;0.05), extension visits (β=0.326, p&lt;0.05), contact with health extension agents (β=0.058, p&lt;0.05) and nutritional awareness (β=0.320, p&lt;0.05) significantly influenced micronutrients of public health importance. However, sex (β=0.305, p&lt;0.01) and diversification to non-farm business (β=0.863, p&lt;0.05) significantly influenced anti-oxidants intake. OLS multiple regression analysis reveal that micronutrient intake has a significant influence on </w:t>
      </w:r>
      <w:proofErr w:type="spellStart"/>
      <w:r w:rsidRPr="004228F1">
        <w:rPr>
          <w:rFonts w:ascii="Times New Roman" w:hAnsi="Times New Roman" w:cs="Times New Roman"/>
          <w:sz w:val="24"/>
          <w:szCs w:val="24"/>
        </w:rPr>
        <w:t>labour</w:t>
      </w:r>
      <w:proofErr w:type="spellEnd"/>
      <w:r w:rsidRPr="004228F1">
        <w:rPr>
          <w:rFonts w:ascii="Times New Roman" w:hAnsi="Times New Roman" w:cs="Times New Roman"/>
          <w:sz w:val="24"/>
          <w:szCs w:val="24"/>
        </w:rPr>
        <w:t xml:space="preserve"> productivity. The higher the number of micronutrients adequacy intake in nutrients of public health importance, nutrients needed for bone formation, nervous system and anti-oxidants, the higher the productivity of the farmers by 146.8Kg/man-day, 236.8,Kg/man and 458.7Kg/man-day and 421.9Kg/man-day respectively. Also, age (β=6.848, p&lt;0.01), level of education (β =68.877, p&lt;0.01), monthly income (β=-0.007, p&lt;0.05), access to credit (β=1199.436, p&lt;0.01), extension visits (β=54.170, p&lt;0.1) and </w:t>
      </w:r>
      <w:r w:rsidRPr="004228F1">
        <w:rPr>
          <w:rFonts w:ascii="Times New Roman" w:hAnsi="Times New Roman" w:cs="Times New Roman"/>
          <w:sz w:val="24"/>
          <w:szCs w:val="24"/>
        </w:rPr>
        <w:lastRenderedPageBreak/>
        <w:t xml:space="preserve">nutritional awareness (β=931.626, p&lt;0.05) significantly influence </w:t>
      </w:r>
      <w:proofErr w:type="spellStart"/>
      <w:r w:rsidRPr="004228F1">
        <w:rPr>
          <w:rFonts w:ascii="Times New Roman" w:hAnsi="Times New Roman" w:cs="Times New Roman"/>
          <w:sz w:val="24"/>
          <w:szCs w:val="24"/>
        </w:rPr>
        <w:t>labour</w:t>
      </w:r>
      <w:proofErr w:type="spellEnd"/>
      <w:r w:rsidRPr="004228F1">
        <w:rPr>
          <w:rFonts w:ascii="Times New Roman" w:hAnsi="Times New Roman" w:cs="Times New Roman"/>
          <w:sz w:val="24"/>
          <w:szCs w:val="24"/>
        </w:rPr>
        <w:t xml:space="preserve"> productivity. The study concluded that cassava-based farmers with adequate micronutrient intake had higher productivity levels. Hence, policies that will enhance the consumption of micronutrient-rich diets needed for bone formation, nervous system and anti-oxidants should be enacted to improve </w:t>
      </w:r>
      <w:proofErr w:type="spellStart"/>
      <w:r w:rsidRPr="004228F1">
        <w:rPr>
          <w:rFonts w:ascii="Times New Roman" w:hAnsi="Times New Roman" w:cs="Times New Roman"/>
          <w:sz w:val="24"/>
          <w:szCs w:val="24"/>
        </w:rPr>
        <w:t>labour</w:t>
      </w:r>
      <w:proofErr w:type="spellEnd"/>
      <w:r w:rsidRPr="004228F1">
        <w:rPr>
          <w:rFonts w:ascii="Times New Roman" w:hAnsi="Times New Roman" w:cs="Times New Roman"/>
          <w:sz w:val="24"/>
          <w:szCs w:val="24"/>
        </w:rPr>
        <w:t xml:space="preserve"> productivity among cassava-based farmers.</w:t>
      </w:r>
    </w:p>
    <w:p w:rsidR="00F75D48" w:rsidRDefault="00F75D48" w:rsidP="00F75D48">
      <w:pPr>
        <w:jc w:val="both"/>
        <w:rPr>
          <w:rFonts w:ascii="Times New Roman" w:hAnsi="Times New Roman" w:cs="Times New Roman"/>
          <w:sz w:val="24"/>
          <w:szCs w:val="24"/>
        </w:rPr>
      </w:pPr>
    </w:p>
    <w:p w:rsidR="009149A5" w:rsidRDefault="009149A5"/>
    <w:sectPr w:rsidR="009149A5" w:rsidSect="009149A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grammar="clean"/>
  <w:defaultTabStop w:val="720"/>
  <w:characterSpacingControl w:val="doNotCompress"/>
  <w:compat/>
  <w:rsids>
    <w:rsidRoot w:val="00F75D48"/>
    <w:rsid w:val="009149A5"/>
    <w:rsid w:val="00F75D4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5D48"/>
    <w:rPr>
      <w:rFonts w:ascii="Calibri" w:eastAsia="SimSun" w:hAnsi="Calibri" w:cs="SimSu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679</Words>
  <Characters>3874</Characters>
  <Application>Microsoft Office Word</Application>
  <DocSecurity>0</DocSecurity>
  <Lines>32</Lines>
  <Paragraphs>9</Paragraphs>
  <ScaleCrop>false</ScaleCrop>
  <Company/>
  <LinksUpToDate>false</LinksUpToDate>
  <CharactersWithSpaces>4544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2025-12-03T09:36:00Z</dcterms:created>
  <dcterms:modified xsi:type="dcterms:W3CDTF">2025-12-03T09:36:00Z</dcterms:modified>
</cp:coreProperties>
</file>