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6F97" w:rsidRDefault="00E56F97" w:rsidP="00E56F97">
      <w:pPr>
        <w:tabs>
          <w:tab w:val="left" w:pos="630"/>
          <w:tab w:val="left" w:pos="6390"/>
        </w:tabs>
        <w:spacing w:before="240" w:beforeAutospacing="0" w:line="480" w:lineRule="auto"/>
        <w:jc w:val="center"/>
        <w:rPr>
          <w:rFonts w:ascii="Times New Roman" w:eastAsia="Calibri" w:hAnsi="Times New Roman"/>
          <w:b/>
          <w:sz w:val="24"/>
          <w:szCs w:val="24"/>
        </w:rPr>
      </w:pPr>
      <w:r>
        <w:rPr>
          <w:rStyle w:val="15"/>
          <w:rFonts w:ascii="Times New Roman" w:eastAsia="Calibri" w:hAnsi="Times New Roman"/>
          <w:b/>
          <w:sz w:val="24"/>
          <w:szCs w:val="24"/>
        </w:rPr>
        <w:t xml:space="preserve">SEED BANK DYNAMICS AND ALLELOPATHIC EFFECTS OF AQUEOUS LEAF EXTRACT OF SOME TREE SPECIES ON </w:t>
      </w:r>
      <w:proofErr w:type="spellStart"/>
      <w:r>
        <w:rPr>
          <w:rStyle w:val="15"/>
          <w:rFonts w:ascii="Times New Roman" w:eastAsia="Calibri" w:hAnsi="Times New Roman"/>
          <w:b/>
          <w:i/>
          <w:sz w:val="24"/>
          <w:szCs w:val="24"/>
        </w:rPr>
        <w:t>Zea</w:t>
      </w:r>
      <w:proofErr w:type="spellEnd"/>
      <w:r>
        <w:rPr>
          <w:rStyle w:val="15"/>
          <w:rFonts w:ascii="Times New Roman" w:eastAsia="Calibri" w:hAnsi="Times New Roman"/>
          <w:b/>
          <w:i/>
          <w:sz w:val="24"/>
          <w:szCs w:val="24"/>
        </w:rPr>
        <w:t xml:space="preserve"> </w:t>
      </w:r>
      <w:proofErr w:type="spellStart"/>
      <w:r>
        <w:rPr>
          <w:rStyle w:val="15"/>
          <w:rFonts w:ascii="Times New Roman" w:eastAsia="Calibri" w:hAnsi="Times New Roman"/>
          <w:b/>
          <w:i/>
          <w:sz w:val="24"/>
          <w:szCs w:val="24"/>
        </w:rPr>
        <w:t>mays</w:t>
      </w:r>
      <w:proofErr w:type="spellEnd"/>
      <w:r>
        <w:rPr>
          <w:rStyle w:val="15"/>
          <w:rFonts w:ascii="Times New Roman" w:eastAsia="Calibri" w:hAnsi="Times New Roman"/>
          <w:b/>
          <w:sz w:val="24"/>
          <w:szCs w:val="24"/>
        </w:rPr>
        <w:t xml:space="preserve"> L. IN TWO FOREST     RESERVES</w:t>
      </w:r>
    </w:p>
    <w:p w:rsidR="00E56F97" w:rsidRDefault="00E56F97" w:rsidP="00E56F97">
      <w:pPr>
        <w:tabs>
          <w:tab w:val="left" w:pos="630"/>
          <w:tab w:val="left" w:pos="6390"/>
        </w:tabs>
        <w:spacing w:before="240" w:beforeAutospacing="0" w:line="480" w:lineRule="auto"/>
        <w:jc w:val="both"/>
        <w:rPr>
          <w:rFonts w:ascii="Times New Roman" w:eastAsia="Calibri" w:hAnsi="Times New Roman"/>
          <w:b/>
          <w:sz w:val="24"/>
          <w:szCs w:val="24"/>
        </w:rPr>
      </w:pPr>
      <w:r>
        <w:rPr>
          <w:rFonts w:ascii="Times New Roman" w:eastAsia="Calibri" w:hAnsi="Times New Roman"/>
          <w:b/>
          <w:sz w:val="24"/>
          <w:szCs w:val="24"/>
        </w:rPr>
        <w:t xml:space="preserve"> </w:t>
      </w:r>
    </w:p>
    <w:p w:rsidR="00E56F97" w:rsidRDefault="00E56F97" w:rsidP="00E56F97">
      <w:pPr>
        <w:pStyle w:val="Heading1"/>
        <w:rPr>
          <w:kern w:val="36"/>
        </w:rPr>
      </w:pPr>
      <w:r>
        <w:rPr>
          <w:kern w:val="36"/>
        </w:rPr>
        <w:t>BY</w:t>
      </w:r>
    </w:p>
    <w:p w:rsidR="00E56F97" w:rsidRDefault="00E56F97" w:rsidP="00E56F97">
      <w:pPr>
        <w:tabs>
          <w:tab w:val="left" w:pos="630"/>
          <w:tab w:val="left" w:pos="6390"/>
        </w:tabs>
        <w:spacing w:before="240" w:beforeAutospacing="0"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E56F97" w:rsidRDefault="00E56F97" w:rsidP="00E56F97">
      <w:pPr>
        <w:tabs>
          <w:tab w:val="left" w:pos="630"/>
          <w:tab w:val="left" w:pos="6390"/>
        </w:tabs>
        <w:spacing w:before="240" w:beforeAutospacing="0"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E56F97" w:rsidRDefault="00E56F97" w:rsidP="00E56F97">
      <w:pPr>
        <w:tabs>
          <w:tab w:val="left" w:pos="630"/>
          <w:tab w:val="left" w:pos="6390"/>
        </w:tabs>
        <w:spacing w:before="240" w:beforeAutospacing="0"/>
        <w:jc w:val="center"/>
        <w:rPr>
          <w:rFonts w:ascii="Times New Roman" w:eastAsia="Calibri" w:hAnsi="Times New Roman"/>
          <w:b/>
          <w:sz w:val="24"/>
          <w:szCs w:val="24"/>
        </w:rPr>
      </w:pPr>
      <w:r>
        <w:rPr>
          <w:rFonts w:ascii="Times New Roman" w:eastAsia="Calibri" w:hAnsi="Times New Roman"/>
          <w:b/>
          <w:sz w:val="24"/>
          <w:szCs w:val="24"/>
        </w:rPr>
        <w:t>JOSEPH, OLADIPUPO JULIUS (PG 17/0569)</w:t>
      </w:r>
    </w:p>
    <w:p w:rsidR="00E56F97" w:rsidRDefault="00E56F97" w:rsidP="00E56F97">
      <w:pPr>
        <w:tabs>
          <w:tab w:val="left" w:pos="630"/>
          <w:tab w:val="left" w:pos="6390"/>
        </w:tabs>
        <w:spacing w:before="240" w:beforeAutospacing="0" w:line="480" w:lineRule="auto"/>
        <w:jc w:val="center"/>
        <w:rPr>
          <w:rFonts w:ascii="Times New Roman" w:eastAsia="Calibri" w:hAnsi="Times New Roman"/>
          <w:b/>
          <w:sz w:val="24"/>
          <w:szCs w:val="24"/>
        </w:rPr>
      </w:pPr>
      <w:r>
        <w:rPr>
          <w:rFonts w:ascii="Times New Roman" w:eastAsia="Calibri" w:hAnsi="Times New Roman"/>
          <w:b/>
          <w:sz w:val="24"/>
          <w:szCs w:val="24"/>
        </w:rPr>
        <w:t>B. Sc. (Abeokuta)</w:t>
      </w:r>
    </w:p>
    <w:p w:rsidR="00E56F97" w:rsidRDefault="00E56F97" w:rsidP="00E56F97">
      <w:pPr>
        <w:tabs>
          <w:tab w:val="left" w:pos="630"/>
          <w:tab w:val="left" w:pos="6390"/>
        </w:tabs>
        <w:spacing w:before="240" w:beforeAutospacing="0"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E56F97" w:rsidRDefault="00E56F97" w:rsidP="00E56F97">
      <w:pPr>
        <w:tabs>
          <w:tab w:val="left" w:pos="630"/>
          <w:tab w:val="left" w:pos="6390"/>
        </w:tabs>
        <w:spacing w:before="240" w:beforeAutospacing="0" w:line="480" w:lineRule="auto"/>
        <w:rPr>
          <w:rFonts w:ascii="Times New Roman" w:eastAsia="Calibri" w:hAnsi="Times New Roman"/>
          <w:b/>
          <w:sz w:val="24"/>
          <w:szCs w:val="24"/>
        </w:rPr>
      </w:pPr>
      <w:r>
        <w:rPr>
          <w:rFonts w:ascii="Times New Roman" w:eastAsia="Calibri" w:hAnsi="Times New Roman"/>
          <w:b/>
          <w:sz w:val="24"/>
          <w:szCs w:val="24"/>
        </w:rPr>
        <w:t xml:space="preserve">  </w:t>
      </w:r>
    </w:p>
    <w:p w:rsidR="00E56F97" w:rsidRDefault="00E56F97" w:rsidP="00E56F97">
      <w:pPr>
        <w:tabs>
          <w:tab w:val="left" w:pos="630"/>
          <w:tab w:val="left" w:pos="6390"/>
        </w:tabs>
        <w:spacing w:before="240" w:beforeAutospacing="0" w:line="480" w:lineRule="auto"/>
        <w:jc w:val="center"/>
        <w:rPr>
          <w:rFonts w:ascii="Times New Roman" w:eastAsia="Calibri" w:hAnsi="Times New Roman"/>
          <w:b/>
          <w:sz w:val="24"/>
          <w:szCs w:val="24"/>
        </w:rPr>
      </w:pPr>
      <w:r>
        <w:rPr>
          <w:rFonts w:ascii="Times New Roman" w:eastAsia="Calibri" w:hAnsi="Times New Roman"/>
          <w:b/>
          <w:sz w:val="24"/>
          <w:szCs w:val="24"/>
        </w:rPr>
        <w:t xml:space="preserve">A dissertation submitted to the Department of Pure and Applied Botany, College of Biosciences, Federal University of Agriculture, Abeokuta in partial </w:t>
      </w:r>
      <w:proofErr w:type="spellStart"/>
      <w:r>
        <w:rPr>
          <w:rFonts w:ascii="Times New Roman" w:eastAsia="Calibri" w:hAnsi="Times New Roman"/>
          <w:b/>
          <w:sz w:val="24"/>
          <w:szCs w:val="24"/>
        </w:rPr>
        <w:t>fulfilment</w:t>
      </w:r>
      <w:proofErr w:type="spellEnd"/>
      <w:r>
        <w:rPr>
          <w:rFonts w:ascii="Times New Roman" w:eastAsia="Calibri" w:hAnsi="Times New Roman"/>
          <w:b/>
          <w:sz w:val="24"/>
          <w:szCs w:val="24"/>
        </w:rPr>
        <w:t xml:space="preserve"> of the requirements for the award of degree of Master of Botany (Plant Physiology)</w:t>
      </w:r>
    </w:p>
    <w:p w:rsidR="00E56F97" w:rsidRDefault="00E56F97" w:rsidP="00E56F97">
      <w:pPr>
        <w:rPr>
          <w:rFonts w:ascii="Times New Roman" w:eastAsia="Calibri" w:hAnsi="Times New Roman"/>
          <w:b/>
          <w:sz w:val="24"/>
          <w:szCs w:val="24"/>
        </w:rPr>
      </w:pPr>
      <w:r>
        <w:rPr>
          <w:rFonts w:ascii="Times New Roman" w:eastAsia="Calibri" w:hAnsi="Times New Roman"/>
          <w:b/>
          <w:sz w:val="24"/>
          <w:szCs w:val="24"/>
        </w:rPr>
        <w:t xml:space="preserve"> </w:t>
      </w:r>
    </w:p>
    <w:p w:rsidR="00E56F97" w:rsidRDefault="00E56F97" w:rsidP="00E56F97">
      <w:pPr>
        <w:jc w:val="center"/>
        <w:rPr>
          <w:rFonts w:ascii="Times New Roman" w:eastAsia="Calibri" w:hAnsi="Times New Roman"/>
          <w:b/>
          <w:sz w:val="24"/>
          <w:szCs w:val="24"/>
        </w:rPr>
      </w:pPr>
      <w:r>
        <w:rPr>
          <w:rFonts w:ascii="Times New Roman" w:eastAsia="Calibri" w:hAnsi="Times New Roman"/>
          <w:b/>
          <w:sz w:val="24"/>
          <w:szCs w:val="24"/>
        </w:rPr>
        <w:t xml:space="preserve"> </w:t>
      </w:r>
    </w:p>
    <w:p w:rsidR="00E56F97" w:rsidRDefault="00E56F97" w:rsidP="00E56F97">
      <w:pPr>
        <w:jc w:val="center"/>
        <w:rPr>
          <w:rFonts w:ascii="Times New Roman" w:eastAsia="Calibri" w:hAnsi="Times New Roman"/>
          <w:b/>
          <w:sz w:val="24"/>
          <w:szCs w:val="24"/>
        </w:rPr>
      </w:pPr>
      <w:r>
        <w:rPr>
          <w:rFonts w:ascii="Times New Roman" w:eastAsia="Calibri" w:hAnsi="Times New Roman"/>
          <w:b/>
          <w:sz w:val="24"/>
          <w:szCs w:val="24"/>
        </w:rPr>
        <w:t xml:space="preserve"> </w:t>
      </w:r>
    </w:p>
    <w:p w:rsidR="00E56F97" w:rsidRDefault="00E56F97" w:rsidP="00E56F97">
      <w:pPr>
        <w:jc w:val="center"/>
        <w:rPr>
          <w:rFonts w:ascii="Times New Roman" w:eastAsia="Calibri" w:hAnsi="Times New Roman"/>
          <w:b/>
          <w:sz w:val="24"/>
          <w:szCs w:val="24"/>
        </w:rPr>
      </w:pPr>
      <w:r>
        <w:rPr>
          <w:rFonts w:ascii="Times New Roman" w:eastAsia="Calibri" w:hAnsi="Times New Roman"/>
          <w:b/>
          <w:sz w:val="24"/>
          <w:szCs w:val="24"/>
        </w:rPr>
        <w:t>SEPTEMBER, 2023</w:t>
      </w:r>
    </w:p>
    <w:p w:rsidR="00E56F97" w:rsidRDefault="00E56F97" w:rsidP="00E56F97">
      <w:pPr>
        <w:jc w:val="center"/>
        <w:rPr>
          <w:rFonts w:ascii="Times New Roman" w:eastAsia="Calibri" w:hAnsi="Times New Roman"/>
          <w:b/>
          <w:sz w:val="24"/>
          <w:szCs w:val="24"/>
        </w:rPr>
      </w:pPr>
    </w:p>
    <w:p w:rsidR="00E56F97" w:rsidRDefault="00E56F97" w:rsidP="00E56F97">
      <w:pPr>
        <w:pStyle w:val="Heading1"/>
        <w:rPr>
          <w:kern w:val="36"/>
        </w:rPr>
      </w:pPr>
      <w:r>
        <w:rPr>
          <w:kern w:val="36"/>
        </w:rPr>
        <w:lastRenderedPageBreak/>
        <w:t>ABSTRACT</w:t>
      </w:r>
    </w:p>
    <w:p w:rsidR="00E56F97" w:rsidRDefault="00E56F97" w:rsidP="00E56F97">
      <w:pPr>
        <w:pStyle w:val="NormalWeb"/>
        <w:spacing w:before="0" w:beforeAutospacing="0" w:after="0" w:afterAutospacing="0" w:line="480" w:lineRule="auto"/>
        <w:contextualSpacing/>
        <w:jc w:val="both"/>
        <w:rPr>
          <w:rStyle w:val="15"/>
          <w:rFonts w:ascii="Times New Roman" w:hAnsi="Times New Roman" w:cs="Times New Roman"/>
          <w:color w:val="0E101A"/>
        </w:rPr>
      </w:pPr>
      <w:proofErr w:type="spellStart"/>
      <w:r>
        <w:rPr>
          <w:color w:val="0E101A"/>
        </w:rPr>
        <w:t>Agroforestry</w:t>
      </w:r>
      <w:proofErr w:type="spellEnd"/>
      <w:r>
        <w:rPr>
          <w:color w:val="0E101A"/>
        </w:rPr>
        <w:t xml:space="preserve"> practice has been identified as a potential means of improving food security. However, </w:t>
      </w:r>
      <w:proofErr w:type="spellStart"/>
      <w:r>
        <w:rPr>
          <w:color w:val="0E101A"/>
        </w:rPr>
        <w:t>allelopathic</w:t>
      </w:r>
      <w:proofErr w:type="spellEnd"/>
      <w:r>
        <w:rPr>
          <w:color w:val="0E101A"/>
        </w:rPr>
        <w:t xml:space="preserve"> influences of trees on crops are yet to be totally understood, especially in </w:t>
      </w:r>
      <w:proofErr w:type="spellStart"/>
      <w:r>
        <w:rPr>
          <w:color w:val="0E101A"/>
        </w:rPr>
        <w:t>agroforestry</w:t>
      </w:r>
      <w:proofErr w:type="spellEnd"/>
      <w:r>
        <w:rPr>
          <w:color w:val="0E101A"/>
        </w:rPr>
        <w:t xml:space="preserve"> systems in Nigeria. This study investigated seed bank dynamics in </w:t>
      </w:r>
      <w:proofErr w:type="spellStart"/>
      <w:r>
        <w:rPr>
          <w:color w:val="0E101A"/>
        </w:rPr>
        <w:t>Olokemeji</w:t>
      </w:r>
      <w:proofErr w:type="spellEnd"/>
      <w:r>
        <w:rPr>
          <w:color w:val="0E101A"/>
        </w:rPr>
        <w:t xml:space="preserve"> (</w:t>
      </w:r>
      <w:proofErr w:type="spellStart"/>
      <w:r>
        <w:rPr>
          <w:color w:val="0E101A"/>
        </w:rPr>
        <w:t>Ogun</w:t>
      </w:r>
      <w:proofErr w:type="spellEnd"/>
      <w:r>
        <w:rPr>
          <w:color w:val="0E101A"/>
        </w:rPr>
        <w:t xml:space="preserve"> State) and </w:t>
      </w:r>
      <w:proofErr w:type="spellStart"/>
      <w:r>
        <w:rPr>
          <w:color w:val="0E101A"/>
        </w:rPr>
        <w:t>Onigambari</w:t>
      </w:r>
      <w:proofErr w:type="spellEnd"/>
      <w:r>
        <w:rPr>
          <w:color w:val="0E101A"/>
        </w:rPr>
        <w:t xml:space="preserve"> (Oyo State) Forest Reserves and </w:t>
      </w:r>
      <w:proofErr w:type="spellStart"/>
      <w:r>
        <w:rPr>
          <w:color w:val="0E101A"/>
        </w:rPr>
        <w:t>allelopathic</w:t>
      </w:r>
      <w:proofErr w:type="spellEnd"/>
      <w:r>
        <w:rPr>
          <w:color w:val="0E101A"/>
        </w:rPr>
        <w:t xml:space="preserve"> effect of some tree species on </w:t>
      </w:r>
      <w:proofErr w:type="spellStart"/>
      <w:r>
        <w:rPr>
          <w:rStyle w:val="15"/>
          <w:color w:val="0E101A"/>
        </w:rPr>
        <w:t>Zea</w:t>
      </w:r>
      <w:proofErr w:type="spellEnd"/>
      <w:r>
        <w:rPr>
          <w:rStyle w:val="15"/>
          <w:color w:val="0E101A"/>
        </w:rPr>
        <w:t xml:space="preserve"> </w:t>
      </w:r>
      <w:proofErr w:type="spellStart"/>
      <w:r>
        <w:rPr>
          <w:rStyle w:val="15"/>
          <w:color w:val="0E101A"/>
        </w:rPr>
        <w:t>mays</w:t>
      </w:r>
      <w:proofErr w:type="spellEnd"/>
      <w:r>
        <w:rPr>
          <w:color w:val="0E101A"/>
        </w:rPr>
        <w:t xml:space="preserve"> L. Study areas, 90 m x 90 m each were mapped out using systemic line transects. Soil samples were taken from different soil depths (0-10 cm, 11-20 cm, and 21-30 cm) in both locations, while seed bank density was evaluated for 6 months in the screen house. Simpson’s index, Shannon-wiener index, species richness and species evenness were calculated for all trees found at each location. Aqueous leaf extracts from three dominant tree species in each location (</w:t>
      </w:r>
      <w:proofErr w:type="spellStart"/>
      <w:r>
        <w:rPr>
          <w:rStyle w:val="15"/>
          <w:color w:val="0E101A"/>
        </w:rPr>
        <w:t>Senna</w:t>
      </w:r>
      <w:proofErr w:type="spellEnd"/>
      <w:r>
        <w:rPr>
          <w:rStyle w:val="15"/>
          <w:color w:val="0E101A"/>
        </w:rPr>
        <w:t xml:space="preserve"> </w:t>
      </w:r>
      <w:proofErr w:type="spellStart"/>
      <w:r>
        <w:rPr>
          <w:rStyle w:val="15"/>
          <w:color w:val="0E101A"/>
        </w:rPr>
        <w:t>siamea</w:t>
      </w:r>
      <w:proofErr w:type="spellEnd"/>
      <w:r>
        <w:rPr>
          <w:rStyle w:val="15"/>
          <w:color w:val="0E101A"/>
        </w:rPr>
        <w:t xml:space="preserve"> </w:t>
      </w:r>
      <w:r>
        <w:rPr>
          <w:rStyle w:val="15"/>
          <w:i/>
          <w:color w:val="0E101A"/>
        </w:rPr>
        <w:t>Lam.</w:t>
      </w:r>
      <w:r>
        <w:rPr>
          <w:i/>
          <w:color w:val="0E101A"/>
        </w:rPr>
        <w:t xml:space="preserve">, </w:t>
      </w:r>
      <w:proofErr w:type="spellStart"/>
      <w:r>
        <w:rPr>
          <w:rStyle w:val="15"/>
          <w:color w:val="0E101A"/>
        </w:rPr>
        <w:t>Anogeissus</w:t>
      </w:r>
      <w:proofErr w:type="spellEnd"/>
      <w:r>
        <w:rPr>
          <w:rStyle w:val="15"/>
          <w:color w:val="0E101A"/>
        </w:rPr>
        <w:t xml:space="preserve"> </w:t>
      </w:r>
      <w:proofErr w:type="spellStart"/>
      <w:r>
        <w:rPr>
          <w:rStyle w:val="15"/>
          <w:color w:val="0E101A"/>
        </w:rPr>
        <w:t>leiocarpus</w:t>
      </w:r>
      <w:proofErr w:type="spellEnd"/>
      <w:r>
        <w:rPr>
          <w:rStyle w:val="15"/>
          <w:color w:val="0E101A"/>
        </w:rPr>
        <w:t xml:space="preserve"> </w:t>
      </w:r>
      <w:r>
        <w:rPr>
          <w:rStyle w:val="15"/>
          <w:i/>
          <w:color w:val="0E101A"/>
        </w:rPr>
        <w:t>(DC.)</w:t>
      </w:r>
      <w:r>
        <w:rPr>
          <w:rStyle w:val="15"/>
          <w:color w:val="0E101A"/>
        </w:rPr>
        <w:t xml:space="preserve"> </w:t>
      </w:r>
      <w:proofErr w:type="spellStart"/>
      <w:proofErr w:type="gramStart"/>
      <w:r>
        <w:rPr>
          <w:rStyle w:val="15"/>
          <w:i/>
          <w:color w:val="0E101A"/>
        </w:rPr>
        <w:t>Guill</w:t>
      </w:r>
      <w:proofErr w:type="spellEnd"/>
      <w:r>
        <w:rPr>
          <w:rStyle w:val="15"/>
          <w:i/>
          <w:color w:val="0E101A"/>
        </w:rPr>
        <w:t>.</w:t>
      </w:r>
      <w:proofErr w:type="gramEnd"/>
      <w:r>
        <w:rPr>
          <w:rStyle w:val="15"/>
          <w:i/>
          <w:color w:val="0E101A"/>
        </w:rPr>
        <w:t xml:space="preserve"> </w:t>
      </w:r>
      <w:proofErr w:type="gramStart"/>
      <w:r>
        <w:rPr>
          <w:rStyle w:val="15"/>
          <w:i/>
          <w:color w:val="0E101A"/>
        </w:rPr>
        <w:t>and</w:t>
      </w:r>
      <w:proofErr w:type="gramEnd"/>
      <w:r>
        <w:rPr>
          <w:rStyle w:val="15"/>
          <w:i/>
          <w:color w:val="0E101A"/>
        </w:rPr>
        <w:t xml:space="preserve"> </w:t>
      </w:r>
      <w:proofErr w:type="spellStart"/>
      <w:r>
        <w:rPr>
          <w:rStyle w:val="15"/>
          <w:i/>
          <w:color w:val="0E101A"/>
        </w:rPr>
        <w:t>Perr</w:t>
      </w:r>
      <w:proofErr w:type="spellEnd"/>
      <w:r>
        <w:rPr>
          <w:rStyle w:val="15"/>
          <w:i/>
          <w:color w:val="0E101A"/>
        </w:rPr>
        <w:t>.</w:t>
      </w:r>
      <w:r>
        <w:rPr>
          <w:i/>
          <w:color w:val="0E101A"/>
        </w:rPr>
        <w:t>,</w:t>
      </w:r>
      <w:r>
        <w:rPr>
          <w:color w:val="0E101A"/>
        </w:rPr>
        <w:t xml:space="preserve"> </w:t>
      </w:r>
      <w:proofErr w:type="spellStart"/>
      <w:r>
        <w:rPr>
          <w:rStyle w:val="15"/>
          <w:color w:val="0E101A"/>
        </w:rPr>
        <w:t>Millettia</w:t>
      </w:r>
      <w:proofErr w:type="spellEnd"/>
      <w:r>
        <w:rPr>
          <w:rStyle w:val="15"/>
          <w:color w:val="0E101A"/>
        </w:rPr>
        <w:t xml:space="preserve"> </w:t>
      </w:r>
      <w:proofErr w:type="spellStart"/>
      <w:r>
        <w:rPr>
          <w:rStyle w:val="15"/>
          <w:color w:val="0E101A"/>
        </w:rPr>
        <w:t>thonningii</w:t>
      </w:r>
      <w:proofErr w:type="spellEnd"/>
      <w:r>
        <w:rPr>
          <w:rStyle w:val="15"/>
          <w:color w:val="0E101A"/>
        </w:rPr>
        <w:t xml:space="preserve"> </w:t>
      </w:r>
      <w:proofErr w:type="spellStart"/>
      <w:r>
        <w:rPr>
          <w:rStyle w:val="15"/>
          <w:i/>
          <w:color w:val="0E101A"/>
        </w:rPr>
        <w:t>Schum</w:t>
      </w:r>
      <w:proofErr w:type="spellEnd"/>
      <w:r>
        <w:rPr>
          <w:rStyle w:val="15"/>
          <w:i/>
          <w:color w:val="0E101A"/>
        </w:rPr>
        <w:t xml:space="preserve"> and </w:t>
      </w:r>
      <w:proofErr w:type="spellStart"/>
      <w:r>
        <w:rPr>
          <w:rStyle w:val="15"/>
          <w:i/>
          <w:color w:val="0E101A"/>
        </w:rPr>
        <w:t>Thonn</w:t>
      </w:r>
      <w:proofErr w:type="spellEnd"/>
      <w:r>
        <w:rPr>
          <w:rStyle w:val="15"/>
          <w:i/>
          <w:color w:val="0E101A"/>
        </w:rPr>
        <w:t>.,</w:t>
      </w:r>
      <w:r>
        <w:rPr>
          <w:color w:val="0E101A"/>
        </w:rPr>
        <w:t xml:space="preserve"> </w:t>
      </w:r>
      <w:proofErr w:type="spellStart"/>
      <w:r>
        <w:rPr>
          <w:rStyle w:val="15"/>
          <w:color w:val="0E101A"/>
        </w:rPr>
        <w:t>Leuceana</w:t>
      </w:r>
      <w:proofErr w:type="spellEnd"/>
      <w:r>
        <w:rPr>
          <w:rStyle w:val="15"/>
          <w:color w:val="0E101A"/>
        </w:rPr>
        <w:t xml:space="preserve"> </w:t>
      </w:r>
      <w:proofErr w:type="spellStart"/>
      <w:r>
        <w:rPr>
          <w:rStyle w:val="15"/>
          <w:color w:val="0E101A"/>
        </w:rPr>
        <w:t>leucocephala</w:t>
      </w:r>
      <w:proofErr w:type="spellEnd"/>
      <w:r>
        <w:rPr>
          <w:rStyle w:val="15"/>
          <w:color w:val="0E101A"/>
        </w:rPr>
        <w:t xml:space="preserve"> </w:t>
      </w:r>
      <w:r>
        <w:rPr>
          <w:rStyle w:val="15"/>
          <w:i/>
          <w:color w:val="0E101A"/>
        </w:rPr>
        <w:t>Lam.</w:t>
      </w:r>
      <w:r>
        <w:rPr>
          <w:i/>
          <w:color w:val="0E101A"/>
        </w:rPr>
        <w:t xml:space="preserve">, </w:t>
      </w:r>
      <w:proofErr w:type="spellStart"/>
      <w:r>
        <w:rPr>
          <w:rStyle w:val="15"/>
          <w:color w:val="0E101A"/>
        </w:rPr>
        <w:t>Khaya</w:t>
      </w:r>
      <w:proofErr w:type="spellEnd"/>
      <w:r>
        <w:rPr>
          <w:rStyle w:val="15"/>
          <w:color w:val="0E101A"/>
        </w:rPr>
        <w:t xml:space="preserve"> </w:t>
      </w:r>
      <w:proofErr w:type="spellStart"/>
      <w:r>
        <w:rPr>
          <w:rStyle w:val="15"/>
          <w:color w:val="0E101A"/>
        </w:rPr>
        <w:t>senegalensis</w:t>
      </w:r>
      <w:proofErr w:type="spellEnd"/>
      <w:r>
        <w:rPr>
          <w:rStyle w:val="15"/>
          <w:color w:val="0E101A"/>
        </w:rPr>
        <w:t xml:space="preserve"> </w:t>
      </w:r>
      <w:proofErr w:type="spellStart"/>
      <w:r>
        <w:rPr>
          <w:rStyle w:val="15"/>
          <w:i/>
          <w:color w:val="0E101A"/>
        </w:rPr>
        <w:t>Desr</w:t>
      </w:r>
      <w:proofErr w:type="spellEnd"/>
      <w:r>
        <w:rPr>
          <w:rStyle w:val="15"/>
          <w:i/>
          <w:color w:val="0E101A"/>
        </w:rPr>
        <w:t>.</w:t>
      </w:r>
      <w:r>
        <w:rPr>
          <w:color w:val="0E101A"/>
        </w:rPr>
        <w:t xml:space="preserve"> </w:t>
      </w:r>
      <w:proofErr w:type="gramStart"/>
      <w:r>
        <w:rPr>
          <w:color w:val="0E101A"/>
        </w:rPr>
        <w:t>and</w:t>
      </w:r>
      <w:proofErr w:type="gramEnd"/>
      <w:r>
        <w:rPr>
          <w:color w:val="0E101A"/>
        </w:rPr>
        <w:t xml:space="preserve"> </w:t>
      </w:r>
      <w:proofErr w:type="spellStart"/>
      <w:r>
        <w:rPr>
          <w:rStyle w:val="15"/>
          <w:color w:val="0E101A"/>
        </w:rPr>
        <w:t>Enterolobium</w:t>
      </w:r>
      <w:proofErr w:type="spellEnd"/>
      <w:r>
        <w:rPr>
          <w:rStyle w:val="15"/>
          <w:color w:val="0E101A"/>
        </w:rPr>
        <w:t xml:space="preserve"> </w:t>
      </w:r>
      <w:proofErr w:type="spellStart"/>
      <w:r>
        <w:rPr>
          <w:rStyle w:val="15"/>
          <w:color w:val="0E101A"/>
        </w:rPr>
        <w:t>cyclocarpum</w:t>
      </w:r>
      <w:proofErr w:type="spellEnd"/>
      <w:r>
        <w:rPr>
          <w:rStyle w:val="15"/>
          <w:color w:val="0E101A"/>
        </w:rPr>
        <w:t xml:space="preserve"> </w:t>
      </w:r>
      <w:proofErr w:type="spellStart"/>
      <w:r>
        <w:rPr>
          <w:rStyle w:val="15"/>
          <w:i/>
          <w:color w:val="0E101A"/>
        </w:rPr>
        <w:t>Jacq</w:t>
      </w:r>
      <w:proofErr w:type="spellEnd"/>
      <w:r>
        <w:rPr>
          <w:rStyle w:val="15"/>
          <w:i/>
          <w:color w:val="0E101A"/>
        </w:rPr>
        <w:t>.)</w:t>
      </w:r>
      <w:r>
        <w:rPr>
          <w:color w:val="0E101A"/>
        </w:rPr>
        <w:t xml:space="preserve"> </w:t>
      </w:r>
      <w:proofErr w:type="gramStart"/>
      <w:r>
        <w:rPr>
          <w:color w:val="0E101A"/>
        </w:rPr>
        <w:t>were</w:t>
      </w:r>
      <w:proofErr w:type="gramEnd"/>
      <w:r>
        <w:rPr>
          <w:color w:val="0E101A"/>
        </w:rPr>
        <w:t xml:space="preserve"> prepared using standard procedures. </w:t>
      </w:r>
      <w:proofErr w:type="spellStart"/>
      <w:r>
        <w:rPr>
          <w:color w:val="0E101A"/>
        </w:rPr>
        <w:t>Allelopathic</w:t>
      </w:r>
      <w:proofErr w:type="spellEnd"/>
      <w:r>
        <w:rPr>
          <w:color w:val="0E101A"/>
        </w:rPr>
        <w:t xml:space="preserve"> influence of each extract was investigated on </w:t>
      </w:r>
      <w:r>
        <w:rPr>
          <w:rStyle w:val="15"/>
          <w:color w:val="0E101A"/>
        </w:rPr>
        <w:t xml:space="preserve">Z. </w:t>
      </w:r>
      <w:proofErr w:type="spellStart"/>
      <w:r>
        <w:rPr>
          <w:rStyle w:val="15"/>
          <w:color w:val="0E101A"/>
        </w:rPr>
        <w:t>mays</w:t>
      </w:r>
      <w:proofErr w:type="spellEnd"/>
      <w:r>
        <w:rPr>
          <w:color w:val="0E101A"/>
        </w:rPr>
        <w:t xml:space="preserve"> arranged in a complete randomized design with five replicates, while treatment with addition of water served as the control. Agronomic parameters such as plant height (PH), number of leaves (NL), root length (RL), leaf area (LA), chlorophyll content (CC), and yield were measured. Crop growth </w:t>
      </w:r>
      <w:proofErr w:type="gramStart"/>
      <w:r>
        <w:rPr>
          <w:color w:val="0E101A"/>
        </w:rPr>
        <w:t>rate (CGR), leaf area ratio (LAR) and net assimilation rate (NAR) were</w:t>
      </w:r>
      <w:proofErr w:type="gramEnd"/>
      <w:r>
        <w:rPr>
          <w:color w:val="0E101A"/>
        </w:rPr>
        <w:t xml:space="preserve"> calculated. Data were </w:t>
      </w:r>
      <w:proofErr w:type="spellStart"/>
      <w:r>
        <w:rPr>
          <w:color w:val="0E101A"/>
        </w:rPr>
        <w:t>analysed</w:t>
      </w:r>
      <w:proofErr w:type="spellEnd"/>
      <w:r>
        <w:rPr>
          <w:color w:val="0E101A"/>
        </w:rPr>
        <w:t xml:space="preserve"> using One-way Analysis of Variance while means were separated using Duncan’s Multiple Range Test at p &lt; 0.05. Results showed that </w:t>
      </w:r>
      <w:proofErr w:type="spellStart"/>
      <w:r>
        <w:rPr>
          <w:color w:val="0E101A"/>
        </w:rPr>
        <w:t>Olokemeji</w:t>
      </w:r>
      <w:proofErr w:type="spellEnd"/>
      <w:r>
        <w:rPr>
          <w:color w:val="0E101A"/>
        </w:rPr>
        <w:t xml:space="preserve"> and </w:t>
      </w:r>
      <w:proofErr w:type="spellStart"/>
      <w:r>
        <w:rPr>
          <w:color w:val="0E101A"/>
        </w:rPr>
        <w:t>Onigambari</w:t>
      </w:r>
      <w:proofErr w:type="spellEnd"/>
      <w:r>
        <w:rPr>
          <w:color w:val="0E101A"/>
        </w:rPr>
        <w:t xml:space="preserve"> had 553 and 266 tree species, respectively. Simpson’s index of </w:t>
      </w:r>
      <w:proofErr w:type="spellStart"/>
      <w:r>
        <w:rPr>
          <w:color w:val="0E101A"/>
        </w:rPr>
        <w:t>Onigambari</w:t>
      </w:r>
      <w:proofErr w:type="spellEnd"/>
      <w:r>
        <w:rPr>
          <w:color w:val="0E101A"/>
        </w:rPr>
        <w:t xml:space="preserve"> showed </w:t>
      </w:r>
      <w:proofErr w:type="gramStart"/>
      <w:r>
        <w:rPr>
          <w:color w:val="0E101A"/>
        </w:rPr>
        <w:t>0.90 diversity</w:t>
      </w:r>
      <w:proofErr w:type="gramEnd"/>
      <w:r>
        <w:rPr>
          <w:color w:val="0E101A"/>
        </w:rPr>
        <w:t xml:space="preserve"> while </w:t>
      </w:r>
      <w:proofErr w:type="spellStart"/>
      <w:r>
        <w:rPr>
          <w:color w:val="0E101A"/>
        </w:rPr>
        <w:t>Olokemeji</w:t>
      </w:r>
      <w:proofErr w:type="spellEnd"/>
      <w:r>
        <w:rPr>
          <w:color w:val="0E101A"/>
        </w:rPr>
        <w:t xml:space="preserve"> had diversity of 0.85. </w:t>
      </w:r>
      <w:proofErr w:type="spellStart"/>
      <w:r>
        <w:rPr>
          <w:color w:val="0E101A"/>
        </w:rPr>
        <w:t>Shanno</w:t>
      </w:r>
      <w:proofErr w:type="spellEnd"/>
      <w:r>
        <w:rPr>
          <w:color w:val="0E101A"/>
        </w:rPr>
        <w:t xml:space="preserve">-Wiener index and Species evenness of </w:t>
      </w:r>
      <w:proofErr w:type="spellStart"/>
      <w:r>
        <w:rPr>
          <w:color w:val="0E101A"/>
        </w:rPr>
        <w:t>Olokemeji</w:t>
      </w:r>
      <w:proofErr w:type="spellEnd"/>
      <w:r>
        <w:rPr>
          <w:color w:val="0E101A"/>
        </w:rPr>
        <w:t xml:space="preserve"> showed 2.13 and 0.83 respectively, while </w:t>
      </w:r>
      <w:proofErr w:type="spellStart"/>
      <w:r>
        <w:rPr>
          <w:color w:val="0E101A"/>
        </w:rPr>
        <w:t>Onigambari</w:t>
      </w:r>
      <w:proofErr w:type="spellEnd"/>
      <w:r>
        <w:rPr>
          <w:color w:val="0E101A"/>
        </w:rPr>
        <w:t xml:space="preserve"> had 2.41 and 0.89, respectively. The seed bank of </w:t>
      </w:r>
      <w:proofErr w:type="spellStart"/>
      <w:r>
        <w:rPr>
          <w:color w:val="0E101A"/>
        </w:rPr>
        <w:t>Olokemeji</w:t>
      </w:r>
      <w:proofErr w:type="spellEnd"/>
      <w:r>
        <w:rPr>
          <w:color w:val="0E101A"/>
        </w:rPr>
        <w:t xml:space="preserve"> produced 130, 78, and 40 seedlings at </w:t>
      </w:r>
      <w:r>
        <w:rPr>
          <w:color w:val="0E101A"/>
        </w:rPr>
        <w:lastRenderedPageBreak/>
        <w:t xml:space="preserve">0-10 cm, 11-20 cm and 21-30 cm depths, respectively </w:t>
      </w:r>
      <w:proofErr w:type="gramStart"/>
      <w:r>
        <w:rPr>
          <w:color w:val="0E101A"/>
        </w:rPr>
        <w:t>whereas,</w:t>
      </w:r>
      <w:proofErr w:type="gramEnd"/>
      <w:r>
        <w:rPr>
          <w:color w:val="0E101A"/>
        </w:rPr>
        <w:t xml:space="preserve"> </w:t>
      </w:r>
      <w:proofErr w:type="spellStart"/>
      <w:r>
        <w:rPr>
          <w:color w:val="0E101A"/>
        </w:rPr>
        <w:t>Onigambari</w:t>
      </w:r>
      <w:proofErr w:type="spellEnd"/>
      <w:r>
        <w:rPr>
          <w:color w:val="0E101A"/>
        </w:rPr>
        <w:t xml:space="preserve"> had 92, 49 and 37 seedlings at 0-10 cm, 11-20 cm and 21-30 cm, respectively. Both forest had the same Simpson’s index </w:t>
      </w:r>
      <w:proofErr w:type="gramStart"/>
      <w:r>
        <w:rPr>
          <w:color w:val="0E101A"/>
        </w:rPr>
        <w:t>nevertheless,</w:t>
      </w:r>
      <w:proofErr w:type="gramEnd"/>
      <w:r>
        <w:rPr>
          <w:color w:val="0E101A"/>
        </w:rPr>
        <w:t xml:space="preserve"> Shannon-Wiener index, species richness, and species evenness of </w:t>
      </w:r>
      <w:proofErr w:type="spellStart"/>
      <w:r>
        <w:rPr>
          <w:color w:val="0E101A"/>
        </w:rPr>
        <w:t>Olokemeji</w:t>
      </w:r>
      <w:proofErr w:type="spellEnd"/>
      <w:r>
        <w:rPr>
          <w:color w:val="0E101A"/>
        </w:rPr>
        <w:t xml:space="preserve"> Forest Reserve were higher at all depths than </w:t>
      </w:r>
      <w:proofErr w:type="spellStart"/>
      <w:r>
        <w:rPr>
          <w:color w:val="0E101A"/>
        </w:rPr>
        <w:t>Onigambari</w:t>
      </w:r>
      <w:proofErr w:type="spellEnd"/>
      <w:r>
        <w:rPr>
          <w:color w:val="0E101A"/>
        </w:rPr>
        <w:t xml:space="preserve"> Forest Reserve. Leaf extracts of five out of six dominant trees increased agronomic parameters of </w:t>
      </w:r>
      <w:r>
        <w:rPr>
          <w:i/>
          <w:color w:val="0E101A"/>
        </w:rPr>
        <w:t>Z</w:t>
      </w:r>
      <w:r>
        <w:rPr>
          <w:color w:val="0E101A"/>
        </w:rPr>
        <w:t xml:space="preserve">. </w:t>
      </w:r>
      <w:proofErr w:type="spellStart"/>
      <w:r>
        <w:rPr>
          <w:i/>
          <w:color w:val="0E101A"/>
        </w:rPr>
        <w:t>mays</w:t>
      </w:r>
      <w:proofErr w:type="spellEnd"/>
      <w:r>
        <w:rPr>
          <w:color w:val="0E101A"/>
        </w:rPr>
        <w:t xml:space="preserve">. Among the six dominant trees, extract of </w:t>
      </w:r>
      <w:r>
        <w:rPr>
          <w:rStyle w:val="15"/>
          <w:color w:val="0E101A"/>
        </w:rPr>
        <w:t xml:space="preserve">S. </w:t>
      </w:r>
      <w:proofErr w:type="spellStart"/>
      <w:r>
        <w:rPr>
          <w:rStyle w:val="15"/>
          <w:color w:val="0E101A"/>
        </w:rPr>
        <w:t>siamea</w:t>
      </w:r>
      <w:proofErr w:type="spellEnd"/>
      <w:r>
        <w:rPr>
          <w:rStyle w:val="15"/>
          <w:color w:val="0E101A"/>
        </w:rPr>
        <w:t xml:space="preserve"> </w:t>
      </w:r>
      <w:r>
        <w:rPr>
          <w:rStyle w:val="15"/>
          <w:i/>
          <w:color w:val="0E101A"/>
        </w:rPr>
        <w:t>had increased</w:t>
      </w:r>
      <w:r>
        <w:rPr>
          <w:rStyle w:val="15"/>
          <w:color w:val="0E101A"/>
        </w:rPr>
        <w:t xml:space="preserve"> </w:t>
      </w:r>
      <w:proofErr w:type="gramStart"/>
      <w:r>
        <w:rPr>
          <w:rStyle w:val="15"/>
          <w:i/>
          <w:color w:val="0E101A"/>
        </w:rPr>
        <w:t>PH,</w:t>
      </w:r>
      <w:proofErr w:type="gramEnd"/>
      <w:r>
        <w:rPr>
          <w:rStyle w:val="15"/>
          <w:i/>
          <w:color w:val="0E101A"/>
        </w:rPr>
        <w:t xml:space="preserve"> and NL of</w:t>
      </w:r>
      <w:r>
        <w:rPr>
          <w:rStyle w:val="15"/>
          <w:color w:val="0E101A"/>
        </w:rPr>
        <w:t xml:space="preserve"> Z. </w:t>
      </w:r>
      <w:proofErr w:type="spellStart"/>
      <w:r>
        <w:rPr>
          <w:rStyle w:val="15"/>
          <w:color w:val="0E101A"/>
        </w:rPr>
        <w:t>mays</w:t>
      </w:r>
      <w:proofErr w:type="spellEnd"/>
      <w:r>
        <w:rPr>
          <w:rStyle w:val="15"/>
          <w:color w:val="0E101A"/>
        </w:rPr>
        <w:t xml:space="preserve"> </w:t>
      </w:r>
      <w:r>
        <w:rPr>
          <w:rStyle w:val="15"/>
          <w:i/>
          <w:color w:val="0E101A"/>
        </w:rPr>
        <w:t>by 8.1% and 8.8%, respectively compared with the control. Also, leaf extract of</w:t>
      </w:r>
      <w:r>
        <w:rPr>
          <w:rStyle w:val="15"/>
          <w:color w:val="0E101A"/>
        </w:rPr>
        <w:t xml:space="preserve"> L. </w:t>
      </w:r>
      <w:proofErr w:type="spellStart"/>
      <w:r>
        <w:rPr>
          <w:rStyle w:val="15"/>
          <w:color w:val="0E101A"/>
        </w:rPr>
        <w:t>leucocephala</w:t>
      </w:r>
      <w:proofErr w:type="spellEnd"/>
      <w:r>
        <w:rPr>
          <w:rStyle w:val="15"/>
          <w:color w:val="0E101A"/>
        </w:rPr>
        <w:t xml:space="preserve"> </w:t>
      </w:r>
      <w:r>
        <w:rPr>
          <w:rStyle w:val="15"/>
          <w:i/>
          <w:color w:val="0E101A"/>
        </w:rPr>
        <w:t>increased</w:t>
      </w:r>
      <w:r>
        <w:rPr>
          <w:rStyle w:val="15"/>
          <w:color w:val="0E101A"/>
        </w:rPr>
        <w:t xml:space="preserve"> </w:t>
      </w:r>
      <w:r>
        <w:rPr>
          <w:rStyle w:val="15"/>
          <w:i/>
          <w:color w:val="0E101A"/>
        </w:rPr>
        <w:t>RL, CC, LAR and NAR of</w:t>
      </w:r>
      <w:r>
        <w:rPr>
          <w:rStyle w:val="15"/>
          <w:color w:val="0E101A"/>
        </w:rPr>
        <w:t xml:space="preserve"> </w:t>
      </w:r>
      <w:r>
        <w:rPr>
          <w:color w:val="0E101A"/>
        </w:rPr>
        <w:t xml:space="preserve">Z. </w:t>
      </w:r>
      <w:proofErr w:type="spellStart"/>
      <w:r>
        <w:rPr>
          <w:color w:val="0E101A"/>
        </w:rPr>
        <w:t>mays</w:t>
      </w:r>
      <w:proofErr w:type="spellEnd"/>
      <w:r>
        <w:rPr>
          <w:color w:val="0E101A"/>
        </w:rPr>
        <w:t xml:space="preserve"> by 8.1%, 1.7%, 24.1% and 36.8% respectively, compared with the control. However, the PH, NL, CGR, NAR and yield of </w:t>
      </w:r>
      <w:r>
        <w:rPr>
          <w:rStyle w:val="15"/>
          <w:color w:val="0E101A"/>
        </w:rPr>
        <w:t xml:space="preserve">Z. </w:t>
      </w:r>
      <w:proofErr w:type="spellStart"/>
      <w:r>
        <w:rPr>
          <w:rStyle w:val="15"/>
          <w:color w:val="0E101A"/>
        </w:rPr>
        <w:t>mays</w:t>
      </w:r>
      <w:proofErr w:type="spellEnd"/>
      <w:r>
        <w:rPr>
          <w:rStyle w:val="15"/>
          <w:color w:val="0E101A"/>
        </w:rPr>
        <w:t xml:space="preserve"> </w:t>
      </w:r>
      <w:r>
        <w:rPr>
          <w:rStyle w:val="15"/>
          <w:i/>
          <w:color w:val="0E101A"/>
        </w:rPr>
        <w:t>treated with</w:t>
      </w:r>
      <w:r>
        <w:rPr>
          <w:rStyle w:val="15"/>
          <w:color w:val="0E101A"/>
        </w:rPr>
        <w:t xml:space="preserve"> E. </w:t>
      </w:r>
      <w:proofErr w:type="spellStart"/>
      <w:r>
        <w:rPr>
          <w:rStyle w:val="15"/>
          <w:color w:val="0E101A"/>
        </w:rPr>
        <w:t>cyclocarpum</w:t>
      </w:r>
      <w:proofErr w:type="spellEnd"/>
      <w:r>
        <w:rPr>
          <w:color w:val="0E101A"/>
        </w:rPr>
        <w:t xml:space="preserve"> leaf extract decreased by 13.3%, 19.2%, 45.9%, 42.1% and 50.5% respectively, compared with the control. The study showed that </w:t>
      </w:r>
      <w:proofErr w:type="spellStart"/>
      <w:r>
        <w:rPr>
          <w:color w:val="0E101A"/>
        </w:rPr>
        <w:t>Olokemeji</w:t>
      </w:r>
      <w:proofErr w:type="spellEnd"/>
      <w:r>
        <w:rPr>
          <w:color w:val="0E101A"/>
        </w:rPr>
        <w:t xml:space="preserve"> had a richer seed bank and higher tree frequency than </w:t>
      </w:r>
      <w:proofErr w:type="spellStart"/>
      <w:r>
        <w:rPr>
          <w:color w:val="0E101A"/>
        </w:rPr>
        <w:t>Onigambari</w:t>
      </w:r>
      <w:proofErr w:type="spellEnd"/>
      <w:r>
        <w:rPr>
          <w:color w:val="0E101A"/>
        </w:rPr>
        <w:t xml:space="preserve">. Also, aqueous leave extracts of the studied tree species had positive </w:t>
      </w:r>
      <w:proofErr w:type="spellStart"/>
      <w:r>
        <w:rPr>
          <w:color w:val="0E101A"/>
        </w:rPr>
        <w:t>allelopathic</w:t>
      </w:r>
      <w:proofErr w:type="spellEnd"/>
      <w:r>
        <w:rPr>
          <w:color w:val="0E101A"/>
        </w:rPr>
        <w:t xml:space="preserve"> influence on </w:t>
      </w:r>
      <w:proofErr w:type="spellStart"/>
      <w:r>
        <w:rPr>
          <w:i/>
          <w:color w:val="0E101A"/>
        </w:rPr>
        <w:t>Zea</w:t>
      </w:r>
      <w:proofErr w:type="spellEnd"/>
      <w:r>
        <w:rPr>
          <w:i/>
          <w:color w:val="0E101A"/>
        </w:rPr>
        <w:t xml:space="preserve"> </w:t>
      </w:r>
      <w:proofErr w:type="spellStart"/>
      <w:r>
        <w:rPr>
          <w:i/>
          <w:color w:val="0E101A"/>
        </w:rPr>
        <w:t>mays</w:t>
      </w:r>
      <w:proofErr w:type="spellEnd"/>
      <w:r>
        <w:rPr>
          <w:i/>
          <w:color w:val="0E101A"/>
        </w:rPr>
        <w:t xml:space="preserve"> </w:t>
      </w:r>
      <w:r>
        <w:rPr>
          <w:color w:val="0E101A"/>
        </w:rPr>
        <w:t xml:space="preserve">except </w:t>
      </w:r>
      <w:proofErr w:type="spellStart"/>
      <w:r>
        <w:rPr>
          <w:rStyle w:val="15"/>
          <w:color w:val="0E101A"/>
        </w:rPr>
        <w:t>Enterolobium</w:t>
      </w:r>
      <w:proofErr w:type="spellEnd"/>
      <w:r>
        <w:rPr>
          <w:rStyle w:val="15"/>
          <w:color w:val="0E101A"/>
        </w:rPr>
        <w:t xml:space="preserve"> </w:t>
      </w:r>
      <w:proofErr w:type="spellStart"/>
      <w:r>
        <w:rPr>
          <w:rStyle w:val="15"/>
          <w:color w:val="0E101A"/>
        </w:rPr>
        <w:t>cyclocarpum</w:t>
      </w:r>
      <w:proofErr w:type="spellEnd"/>
      <w:r>
        <w:rPr>
          <w:rStyle w:val="15"/>
          <w:i/>
          <w:color w:val="0E101A"/>
        </w:rPr>
        <w:t>.</w:t>
      </w:r>
      <w:r>
        <w:rPr>
          <w:rStyle w:val="15"/>
          <w:color w:val="0E101A"/>
        </w:rPr>
        <w:t xml:space="preserve">                            </w:t>
      </w:r>
    </w:p>
    <w:p w:rsidR="009D4C44" w:rsidRDefault="009D4C44"/>
    <w:sectPr w:rsidR="009D4C44" w:rsidSect="009D4C44">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56F97"/>
    <w:rsid w:val="009D4C44"/>
    <w:rsid w:val="00E56F9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F97"/>
    <w:pPr>
      <w:spacing w:before="100" w:beforeAutospacing="1" w:line="273" w:lineRule="auto"/>
    </w:pPr>
    <w:rPr>
      <w:rFonts w:ascii="Calibri" w:eastAsia="Times New Roman" w:hAnsi="Calibri" w:cs="Times New Roman"/>
    </w:rPr>
  </w:style>
  <w:style w:type="paragraph" w:styleId="Heading1">
    <w:name w:val="heading 1"/>
    <w:basedOn w:val="Normal"/>
    <w:next w:val="Normal"/>
    <w:link w:val="Heading1Char"/>
    <w:uiPriority w:val="99"/>
    <w:qFormat/>
    <w:rsid w:val="00E56F97"/>
    <w:pPr>
      <w:keepNext/>
      <w:keepLines/>
      <w:widowControl w:val="0"/>
      <w:spacing w:before="480" w:beforeAutospacing="0" w:after="0" w:line="360" w:lineRule="auto"/>
      <w:jc w:val="center"/>
      <w:outlineLvl w:val="0"/>
    </w:pPr>
    <w:rPr>
      <w:rFonts w:ascii="Times New Roman" w:eastAsia="SimSun" w:hAnsi="Times New Roman"/>
      <w:b/>
      <w:bCs/>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56F97"/>
    <w:rPr>
      <w:rFonts w:ascii="Times New Roman" w:eastAsia="SimSun" w:hAnsi="Times New Roman" w:cs="Times New Roman"/>
      <w:b/>
      <w:bCs/>
      <w:color w:val="000000"/>
      <w:sz w:val="24"/>
      <w:szCs w:val="24"/>
    </w:rPr>
  </w:style>
  <w:style w:type="character" w:customStyle="1" w:styleId="15">
    <w:name w:val="15"/>
    <w:basedOn w:val="DefaultParagraphFont"/>
    <w:rsid w:val="00E56F97"/>
    <w:rPr>
      <w:rFonts w:ascii="Calibri" w:hAnsi="Calibri" w:cs="Calibri" w:hint="default"/>
    </w:rPr>
  </w:style>
  <w:style w:type="paragraph" w:styleId="NormalWeb">
    <w:name w:val="Normal (Web)"/>
    <w:basedOn w:val="Normal"/>
    <w:uiPriority w:val="99"/>
    <w:semiHidden/>
    <w:unhideWhenUsed/>
    <w:rsid w:val="00E56F97"/>
    <w:pPr>
      <w:spacing w:after="100" w:afterAutospacing="1" w:line="240" w:lineRule="auto"/>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28325748">
      <w:bodyDiv w:val="1"/>
      <w:marLeft w:val="0"/>
      <w:marRight w:val="0"/>
      <w:marTop w:val="0"/>
      <w:marBottom w:val="0"/>
      <w:divBdr>
        <w:top w:val="none" w:sz="0" w:space="0" w:color="auto"/>
        <w:left w:val="none" w:sz="0" w:space="0" w:color="auto"/>
        <w:bottom w:val="none" w:sz="0" w:space="0" w:color="auto"/>
        <w:right w:val="none" w:sz="0" w:space="0" w:color="auto"/>
      </w:divBdr>
    </w:div>
    <w:div w:id="254947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552</Words>
  <Characters>3153</Characters>
  <Application>Microsoft Office Word</Application>
  <DocSecurity>0</DocSecurity>
  <Lines>26</Lines>
  <Paragraphs>7</Paragraphs>
  <ScaleCrop>false</ScaleCrop>
  <Company/>
  <LinksUpToDate>false</LinksUpToDate>
  <CharactersWithSpaces>3698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2025-11-03T13:17:00Z</dcterms:created>
  <dcterms:modified xsi:type="dcterms:W3CDTF">2025-11-03T13:18:00Z</dcterms:modified>
</cp:coreProperties>
</file>