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color w:val="auto"/>
          <w:szCs w:val="24"/>
          <w:lang w:val="en-GB" w:eastAsia="en-GB"/>
        </w:rPr>
      </w:pPr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 xml:space="preserve">MODULATORY EFFECTS OF DIETARY INCLUSION OF </w:t>
      </w:r>
      <w:bookmarkStart w:id="0" w:name="_GoBack"/>
      <w:bookmarkEnd w:id="0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CRAB-CHITOSAN ON RENAL DYSFUNCTION ASSOCIATED WITH 1, 2-DIMETHYLHYDRAZINE-INDUCED COLORECTAL CANCER IN MALE WISTAR RATS</w:t>
      </w:r>
    </w:p>
    <w:p w:rsidR="00570E07" w:rsidRPr="00F16966" w:rsidRDefault="00570E07" w:rsidP="00570E07">
      <w:pPr>
        <w:spacing w:before="200" w:after="240" w:line="480" w:lineRule="auto"/>
        <w:ind w:left="0" w:right="0" w:firstLine="0"/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</w:pPr>
    </w:p>
    <w:p w:rsidR="00570E07" w:rsidRPr="00F16966" w:rsidRDefault="00570E07" w:rsidP="00570E07">
      <w:pPr>
        <w:spacing w:before="200" w:after="240" w:line="480" w:lineRule="auto"/>
        <w:ind w:left="0" w:right="0" w:firstLine="0"/>
        <w:jc w:val="center"/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</w:pPr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br/>
        <w:t xml:space="preserve">BY </w:t>
      </w:r>
    </w:p>
    <w:p w:rsidR="00570E07" w:rsidRPr="00F16966" w:rsidRDefault="00570E07" w:rsidP="00570E07">
      <w:pPr>
        <w:spacing w:before="200" w:after="240" w:line="480" w:lineRule="auto"/>
        <w:ind w:left="0" w:right="0" w:firstLine="0"/>
        <w:jc w:val="center"/>
        <w:rPr>
          <w:color w:val="auto"/>
          <w:szCs w:val="24"/>
          <w:lang w:val="en-GB" w:eastAsia="en-GB"/>
        </w:rPr>
      </w:pPr>
    </w:p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</w:pPr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OYEYINKA</w:t>
      </w:r>
      <w:proofErr w:type="gram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 xml:space="preserve">,  </w:t>
      </w:r>
      <w:proofErr w:type="spell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Tolulope</w:t>
      </w:r>
      <w:proofErr w:type="spellEnd"/>
      <w:proofErr w:type="gramEnd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 xml:space="preserve"> </w:t>
      </w:r>
      <w:proofErr w:type="spell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Oyeronke</w:t>
      </w:r>
      <w:proofErr w:type="spellEnd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 xml:space="preserve"> (PG 18/0440)</w:t>
      </w:r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br/>
        <w:t>B. Sc. (</w:t>
      </w:r>
      <w:proofErr w:type="spell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Lautech</w:t>
      </w:r>
      <w:proofErr w:type="spellEnd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 xml:space="preserve">, </w:t>
      </w:r>
      <w:proofErr w:type="spell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Ogbomoso</w:t>
      </w:r>
      <w:proofErr w:type="spellEnd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)</w:t>
      </w:r>
    </w:p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</w:pPr>
    </w:p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</w:pPr>
    </w:p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rFonts w:eastAsiaTheme="minorEastAsia"/>
          <w:color w:val="000000" w:themeColor="text1"/>
          <w:kern w:val="24"/>
          <w:szCs w:val="24"/>
          <w:lang w:eastAsia="en-GB"/>
        </w:rPr>
      </w:pPr>
      <w:r w:rsidRPr="00F16966">
        <w:rPr>
          <w:rFonts w:eastAsiaTheme="minorEastAsia"/>
          <w:color w:val="000000" w:themeColor="text1"/>
          <w:kern w:val="24"/>
          <w:szCs w:val="24"/>
          <w:lang w:eastAsia="en-GB"/>
        </w:rPr>
        <w:br/>
      </w:r>
      <w:r w:rsidRPr="00F16966">
        <w:rPr>
          <w:rFonts w:eastAsiaTheme="minorEastAsia"/>
          <w:color w:val="000000" w:themeColor="text1"/>
          <w:kern w:val="24"/>
          <w:szCs w:val="24"/>
          <w:lang w:eastAsia="en-GB"/>
        </w:rPr>
        <w:br/>
      </w:r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A thesis submitted to Department Of Biochemistry, College Of Biosciences</w:t>
      </w:r>
      <w:proofErr w:type="gramStart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t>,</w:t>
      </w:r>
      <w:proofErr w:type="gramEnd"/>
      <w:r w:rsidRPr="00F16966">
        <w:rPr>
          <w:rFonts w:eastAsiaTheme="minorEastAsia"/>
          <w:b/>
          <w:bCs/>
          <w:color w:val="000000" w:themeColor="text1"/>
          <w:kern w:val="24"/>
          <w:szCs w:val="24"/>
          <w:lang w:eastAsia="en-GB"/>
        </w:rPr>
        <w:br/>
        <w:t>Federal University Of Agriculture,  Abeokuta</w:t>
      </w:r>
      <w:r w:rsidRPr="00F16966">
        <w:rPr>
          <w:rFonts w:eastAsiaTheme="minorEastAsia"/>
          <w:color w:val="000000" w:themeColor="text1"/>
          <w:kern w:val="24"/>
          <w:szCs w:val="24"/>
          <w:lang w:eastAsia="en-GB"/>
        </w:rPr>
        <w:t xml:space="preserve">. </w:t>
      </w:r>
      <w:r w:rsidRPr="00F16966">
        <w:rPr>
          <w:rFonts w:eastAsiaTheme="minorEastAsia"/>
          <w:b/>
          <w:color w:val="000000" w:themeColor="text1"/>
          <w:kern w:val="24"/>
          <w:szCs w:val="24"/>
          <w:lang w:eastAsia="en-GB"/>
        </w:rPr>
        <w:t xml:space="preserve">In partial </w:t>
      </w:r>
      <w:proofErr w:type="spellStart"/>
      <w:r w:rsidRPr="00F16966">
        <w:rPr>
          <w:rFonts w:eastAsiaTheme="minorEastAsia"/>
          <w:b/>
          <w:color w:val="000000" w:themeColor="text1"/>
          <w:kern w:val="24"/>
          <w:szCs w:val="24"/>
          <w:lang w:eastAsia="en-GB"/>
        </w:rPr>
        <w:t>fulfilment</w:t>
      </w:r>
      <w:proofErr w:type="spellEnd"/>
      <w:r w:rsidRPr="00F16966">
        <w:rPr>
          <w:rFonts w:eastAsiaTheme="minorEastAsia"/>
          <w:b/>
          <w:color w:val="000000" w:themeColor="text1"/>
          <w:kern w:val="24"/>
          <w:szCs w:val="24"/>
          <w:lang w:eastAsia="en-GB"/>
        </w:rPr>
        <w:t xml:space="preserve"> of the Requirement for the Degree of Masters of Science (M.sc) in Biochemistry</w:t>
      </w:r>
    </w:p>
    <w:p w:rsidR="00570E07" w:rsidRPr="00F16966" w:rsidRDefault="00570E07" w:rsidP="00570E07">
      <w:pPr>
        <w:spacing w:before="200" w:after="0" w:line="480" w:lineRule="auto"/>
        <w:ind w:left="0" w:right="0" w:firstLine="0"/>
        <w:jc w:val="left"/>
        <w:rPr>
          <w:rFonts w:eastAsiaTheme="minorEastAsia"/>
          <w:color w:val="000000" w:themeColor="text1"/>
          <w:kern w:val="24"/>
          <w:szCs w:val="24"/>
          <w:lang w:eastAsia="en-GB"/>
        </w:rPr>
      </w:pPr>
    </w:p>
    <w:p w:rsidR="00570E07" w:rsidRPr="00F16966" w:rsidRDefault="00570E07" w:rsidP="00570E07">
      <w:pPr>
        <w:spacing w:before="200" w:after="0" w:line="480" w:lineRule="auto"/>
        <w:ind w:left="0" w:right="0" w:firstLine="0"/>
        <w:jc w:val="left"/>
        <w:rPr>
          <w:rFonts w:eastAsiaTheme="minorEastAsia"/>
          <w:color w:val="000000" w:themeColor="text1"/>
          <w:kern w:val="24"/>
          <w:szCs w:val="24"/>
          <w:lang w:eastAsia="en-GB"/>
        </w:rPr>
      </w:pPr>
    </w:p>
    <w:p w:rsidR="00570E07" w:rsidRPr="00F16966" w:rsidRDefault="00570E07" w:rsidP="00570E07">
      <w:pPr>
        <w:spacing w:before="200" w:after="0" w:line="480" w:lineRule="auto"/>
        <w:ind w:left="0" w:right="0" w:firstLine="0"/>
        <w:jc w:val="center"/>
        <w:rPr>
          <w:color w:val="auto"/>
          <w:szCs w:val="24"/>
          <w:lang w:val="en-GB" w:eastAsia="en-GB"/>
        </w:rPr>
      </w:pPr>
      <w:r w:rsidRPr="00F16966">
        <w:rPr>
          <w:rFonts w:eastAsiaTheme="minorEastAsia"/>
          <w:color w:val="000000" w:themeColor="text1"/>
          <w:kern w:val="24"/>
          <w:szCs w:val="24"/>
          <w:lang w:eastAsia="en-GB"/>
        </w:rPr>
        <w:t>September, 2024</w:t>
      </w:r>
    </w:p>
    <w:p w:rsidR="00570E07" w:rsidRDefault="00570E07" w:rsidP="00570E07">
      <w:pPr>
        <w:spacing w:after="200" w:line="480" w:lineRule="auto"/>
        <w:ind w:left="0" w:right="0" w:firstLine="0"/>
        <w:jc w:val="center"/>
        <w:rPr>
          <w:rFonts w:eastAsia="Calibri"/>
          <w:b/>
          <w:bCs/>
          <w:color w:val="auto"/>
          <w:szCs w:val="24"/>
        </w:rPr>
        <w:sectPr w:rsidR="00570E07" w:rsidSect="00AF4FD2">
          <w:headerReference w:type="even" r:id="rId4"/>
          <w:headerReference w:type="default" r:id="rId5"/>
          <w:footerReference w:type="even" r:id="rId6"/>
          <w:footerReference w:type="default" r:id="rId7"/>
          <w:headerReference w:type="first" r:id="rId8"/>
          <w:footerReference w:type="first" r:id="rId9"/>
          <w:pgSz w:w="12240" w:h="15840"/>
          <w:pgMar w:top="1445" w:right="1436" w:bottom="1458" w:left="1440" w:header="1442" w:footer="721" w:gutter="0"/>
          <w:cols w:space="720"/>
          <w:titlePg/>
          <w:docGrid w:linePitch="326"/>
        </w:sectPr>
      </w:pPr>
    </w:p>
    <w:p w:rsidR="00570E07" w:rsidRPr="00EB4EA7" w:rsidRDefault="00570E07" w:rsidP="00570E07">
      <w:pPr>
        <w:spacing w:after="0" w:line="480" w:lineRule="auto"/>
        <w:ind w:left="0" w:right="0" w:firstLine="0"/>
        <w:jc w:val="center"/>
        <w:rPr>
          <w:rFonts w:eastAsia="Calibri"/>
          <w:b/>
          <w:bCs/>
          <w:color w:val="auto"/>
          <w:szCs w:val="24"/>
        </w:rPr>
      </w:pPr>
      <w:r w:rsidRPr="00EB4EA7">
        <w:rPr>
          <w:rFonts w:eastAsia="Calibri"/>
          <w:b/>
          <w:bCs/>
          <w:color w:val="auto"/>
          <w:szCs w:val="24"/>
        </w:rPr>
        <w:lastRenderedPageBreak/>
        <w:t>ABSTRACT</w:t>
      </w:r>
    </w:p>
    <w:p w:rsidR="00570E07" w:rsidRPr="00EB4EA7" w:rsidRDefault="00570E07" w:rsidP="00570E07">
      <w:pPr>
        <w:spacing w:after="4" w:line="480" w:lineRule="auto"/>
        <w:ind w:left="0" w:right="0" w:firstLine="0"/>
        <w:rPr>
          <w:lang w:val="en-GB" w:eastAsia="en-GB"/>
        </w:rPr>
      </w:pPr>
      <w:r w:rsidRPr="00EB4EA7">
        <w:rPr>
          <w:lang w:val="en-GB" w:eastAsia="en-GB"/>
        </w:rPr>
        <w:t xml:space="preserve">Renal dysfunction is a significant complication in patients with colorectal cancer (CRC) and is </w:t>
      </w:r>
      <w:r w:rsidRPr="00EB4EA7">
        <w:rPr>
          <w:sz w:val="21"/>
          <w:lang w:val="en-GB" w:eastAsia="en-GB"/>
        </w:rPr>
        <w:t xml:space="preserve">12 </w:t>
      </w:r>
      <w:r w:rsidRPr="00EB4EA7">
        <w:rPr>
          <w:lang w:val="en-GB" w:eastAsia="en-GB"/>
        </w:rPr>
        <w:t xml:space="preserve">associated with high morbidity and mortality. Studies have reported that 35% of CRC cases are </w:t>
      </w:r>
      <w:r w:rsidRPr="00EB4EA7">
        <w:rPr>
          <w:sz w:val="21"/>
          <w:lang w:val="en-GB" w:eastAsia="en-GB"/>
        </w:rPr>
        <w:t xml:space="preserve">13 </w:t>
      </w:r>
      <w:r w:rsidRPr="00EB4EA7">
        <w:rPr>
          <w:lang w:val="en-GB" w:eastAsia="en-GB"/>
        </w:rPr>
        <w:t xml:space="preserve">linked to dietary factors. This study investigated the </w:t>
      </w:r>
      <w:proofErr w:type="spellStart"/>
      <w:r w:rsidRPr="00EB4EA7">
        <w:rPr>
          <w:lang w:val="en-GB" w:eastAsia="en-GB"/>
        </w:rPr>
        <w:t>modulatory</w:t>
      </w:r>
      <w:proofErr w:type="spellEnd"/>
      <w:r w:rsidRPr="00EB4EA7">
        <w:rPr>
          <w:lang w:val="en-GB" w:eastAsia="en-GB"/>
        </w:rPr>
        <w:t xml:space="preserve"> effects of dietary inclusion of </w:t>
      </w:r>
      <w:r w:rsidRPr="00EB4EA7">
        <w:rPr>
          <w:sz w:val="21"/>
          <w:lang w:val="en-GB" w:eastAsia="en-GB"/>
        </w:rPr>
        <w:t xml:space="preserve">14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on renal dysfunction associated with CRC in male </w:t>
      </w:r>
      <w:proofErr w:type="spellStart"/>
      <w:r w:rsidRPr="00EB4EA7">
        <w:rPr>
          <w:lang w:val="en-GB" w:eastAsia="en-GB"/>
        </w:rPr>
        <w:t>Wistar</w:t>
      </w:r>
      <w:proofErr w:type="spellEnd"/>
      <w:r w:rsidRPr="00EB4EA7">
        <w:rPr>
          <w:lang w:val="en-GB" w:eastAsia="en-GB"/>
        </w:rPr>
        <w:t xml:space="preserve"> rats induced with 65 mg/kg </w:t>
      </w:r>
      <w:proofErr w:type="spellStart"/>
      <w:r w:rsidRPr="00EB4EA7">
        <w:rPr>
          <w:lang w:val="en-GB" w:eastAsia="en-GB"/>
        </w:rPr>
        <w:t>b.w.t</w:t>
      </w:r>
      <w:proofErr w:type="spellEnd"/>
      <w:r w:rsidRPr="00EB4EA7">
        <w:rPr>
          <w:lang w:val="en-GB" w:eastAsia="en-GB"/>
        </w:rPr>
        <w:t xml:space="preserve"> </w:t>
      </w:r>
      <w:r w:rsidRPr="00EB4EA7">
        <w:rPr>
          <w:sz w:val="21"/>
          <w:lang w:val="en-GB" w:eastAsia="en-GB"/>
        </w:rPr>
        <w:t xml:space="preserve">15 </w:t>
      </w:r>
      <w:r w:rsidRPr="00EB4EA7">
        <w:rPr>
          <w:lang w:val="en-GB" w:eastAsia="en-GB"/>
        </w:rPr>
        <w:t>of 1</w:t>
      </w:r>
      <w:proofErr w:type="gramStart"/>
      <w:r w:rsidRPr="00EB4EA7">
        <w:rPr>
          <w:lang w:val="en-GB" w:eastAsia="en-GB"/>
        </w:rPr>
        <w:t>,2</w:t>
      </w:r>
      <w:proofErr w:type="gramEnd"/>
      <w:r w:rsidRPr="00EB4EA7">
        <w:rPr>
          <w:lang w:val="en-GB" w:eastAsia="en-GB"/>
        </w:rPr>
        <w:t xml:space="preserve">-dimethylhydrazine (DMH). Forty-nine male </w:t>
      </w:r>
      <w:proofErr w:type="spellStart"/>
      <w:r w:rsidRPr="00EB4EA7">
        <w:rPr>
          <w:lang w:val="en-GB" w:eastAsia="en-GB"/>
        </w:rPr>
        <w:t>Wistar</w:t>
      </w:r>
      <w:proofErr w:type="spellEnd"/>
      <w:r w:rsidRPr="00EB4EA7">
        <w:rPr>
          <w:lang w:val="en-GB" w:eastAsia="en-GB"/>
        </w:rPr>
        <w:t xml:space="preserve"> rats (80–100) g were separated into seven groups (n=7): normal control, DMH control, DMH + 2.5%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, DMH + 5%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, </w:t>
      </w:r>
      <w:r w:rsidRPr="00EB4EA7">
        <w:rPr>
          <w:sz w:val="21"/>
          <w:lang w:val="en-GB" w:eastAsia="en-GB"/>
        </w:rPr>
        <w:t xml:space="preserve">17 </w:t>
      </w:r>
      <w:r w:rsidRPr="00EB4EA7">
        <w:rPr>
          <w:lang w:val="en-GB" w:eastAsia="en-GB"/>
        </w:rPr>
        <w:t xml:space="preserve">DMH + 7.5%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>, DMH + standard drug (</w:t>
      </w:r>
      <w:proofErr w:type="spellStart"/>
      <w:r w:rsidRPr="00EB4EA7">
        <w:rPr>
          <w:lang w:val="en-GB" w:eastAsia="en-GB"/>
        </w:rPr>
        <w:t>capecitabine</w:t>
      </w:r>
      <w:proofErr w:type="spellEnd"/>
      <w:r w:rsidRPr="00EB4EA7">
        <w:rPr>
          <w:lang w:val="en-GB" w:eastAsia="en-GB"/>
        </w:rPr>
        <w:t xml:space="preserve"> - 10 mg/kg </w:t>
      </w:r>
      <w:proofErr w:type="spellStart"/>
      <w:r w:rsidRPr="00EB4EA7">
        <w:rPr>
          <w:lang w:val="en-GB" w:eastAsia="en-GB"/>
        </w:rPr>
        <w:t>b.wt</w:t>
      </w:r>
      <w:proofErr w:type="spellEnd"/>
      <w:r w:rsidRPr="00EB4EA7">
        <w:rPr>
          <w:lang w:val="en-GB" w:eastAsia="en-GB"/>
        </w:rPr>
        <w:t xml:space="preserve">.), and Diet control(7.5%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). The DMH was administered subcutaneously weekly for six weeks followed by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-inclusion diets given for eight weeks. The normal control, DMH control and DMH +standard drug groups were fed normal diet. Samples of blood, colon, and kidney were taken and processed using standard methods for biochemical, haematological, </w:t>
      </w:r>
      <w:proofErr w:type="spellStart"/>
      <w:r w:rsidRPr="00EB4EA7">
        <w:rPr>
          <w:lang w:val="en-GB" w:eastAsia="en-GB"/>
        </w:rPr>
        <w:t>geneexpression</w:t>
      </w:r>
      <w:proofErr w:type="spellEnd"/>
      <w:r w:rsidRPr="00EB4EA7">
        <w:rPr>
          <w:lang w:val="en-GB" w:eastAsia="en-GB"/>
        </w:rPr>
        <w:t xml:space="preserve"> and </w:t>
      </w:r>
      <w:proofErr w:type="spellStart"/>
      <w:r w:rsidRPr="00EB4EA7">
        <w:rPr>
          <w:lang w:val="en-GB" w:eastAsia="en-GB"/>
        </w:rPr>
        <w:t>histopathological</w:t>
      </w:r>
      <w:proofErr w:type="spellEnd"/>
      <w:r w:rsidRPr="00EB4EA7">
        <w:rPr>
          <w:lang w:val="en-GB" w:eastAsia="en-GB"/>
        </w:rPr>
        <w:t xml:space="preserve"> analyses. Data were analyzed using one-way analysis of variance, followed by Duncan’s multiple range </w:t>
      </w:r>
      <w:proofErr w:type="gramStart"/>
      <w:r w:rsidRPr="00EB4EA7">
        <w:rPr>
          <w:lang w:val="en-GB" w:eastAsia="en-GB"/>
        </w:rPr>
        <w:t>test</w:t>
      </w:r>
      <w:proofErr w:type="gramEnd"/>
      <w:r w:rsidRPr="00EB4EA7">
        <w:rPr>
          <w:lang w:val="en-GB" w:eastAsia="en-GB"/>
        </w:rPr>
        <w:t xml:space="preserve">; p &lt; 0.05 was considered significant. The DMH control group showed elevated (9.4 fold) serum </w:t>
      </w:r>
      <w:proofErr w:type="spellStart"/>
      <w:r w:rsidRPr="00EB4EA7">
        <w:rPr>
          <w:lang w:val="en-GB" w:eastAsia="en-GB"/>
        </w:rPr>
        <w:t>carcino</w:t>
      </w:r>
      <w:proofErr w:type="spellEnd"/>
      <w:r w:rsidRPr="00EB4EA7">
        <w:rPr>
          <w:lang w:val="en-GB" w:eastAsia="en-GB"/>
        </w:rPr>
        <w:t xml:space="preserve">-embryonic antigen when compared with the normal control, which was significantly (p &lt; 0.05) reduced by 76% following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treatment. The </w:t>
      </w:r>
      <w:proofErr w:type="spellStart"/>
      <w:r w:rsidRPr="00EB4EA7">
        <w:rPr>
          <w:lang w:val="en-GB" w:eastAsia="en-GB"/>
        </w:rPr>
        <w:t>chitosaninclusion</w:t>
      </w:r>
      <w:proofErr w:type="spellEnd"/>
      <w:r w:rsidRPr="00EB4EA7">
        <w:rPr>
          <w:lang w:val="en-GB" w:eastAsia="en-GB"/>
        </w:rPr>
        <w:t xml:space="preserve"> diets significantly (p &lt; 0.05) increased the DMH-reduced </w:t>
      </w:r>
      <w:proofErr w:type="spellStart"/>
      <w:r w:rsidRPr="00EB4EA7">
        <w:rPr>
          <w:lang w:val="en-GB" w:eastAsia="en-GB"/>
        </w:rPr>
        <w:t>creatinine</w:t>
      </w:r>
      <w:proofErr w:type="spellEnd"/>
      <w:r w:rsidRPr="00EB4EA7">
        <w:rPr>
          <w:lang w:val="en-GB" w:eastAsia="en-GB"/>
        </w:rPr>
        <w:t xml:space="preserve"> (29 and 5.8) fold, and urea (53 and 31</w:t>
      </w:r>
      <w:proofErr w:type="gramStart"/>
      <w:r w:rsidRPr="00EB4EA7">
        <w:rPr>
          <w:lang w:val="en-GB" w:eastAsia="en-GB"/>
        </w:rPr>
        <w:t>)%</w:t>
      </w:r>
      <w:proofErr w:type="gramEnd"/>
      <w:r w:rsidRPr="00EB4EA7">
        <w:rPr>
          <w:lang w:val="en-GB" w:eastAsia="en-GB"/>
        </w:rPr>
        <w:t xml:space="preserve"> in the serum and kidney, respectively. Additionally,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increased the DMH-reduced levels of calcium (1.7, 12.2, and 2.6) fold and magnesium (41, 284, and 6</w:t>
      </w:r>
      <w:proofErr w:type="gramStart"/>
      <w:r w:rsidRPr="00EB4EA7">
        <w:rPr>
          <w:lang w:val="en-GB" w:eastAsia="en-GB"/>
        </w:rPr>
        <w:t>)%</w:t>
      </w:r>
      <w:proofErr w:type="gramEnd"/>
      <w:r w:rsidRPr="00EB4EA7">
        <w:rPr>
          <w:lang w:val="en-GB" w:eastAsia="en-GB"/>
        </w:rPr>
        <w:t xml:space="preserve">, </w:t>
      </w:r>
      <w:proofErr w:type="spellStart"/>
      <w:r w:rsidRPr="00EB4EA7">
        <w:rPr>
          <w:lang w:val="en-GB" w:eastAsia="en-GB"/>
        </w:rPr>
        <w:t>inserum</w:t>
      </w:r>
      <w:proofErr w:type="spellEnd"/>
      <w:r w:rsidRPr="00EB4EA7">
        <w:rPr>
          <w:lang w:val="en-GB" w:eastAsia="en-GB"/>
        </w:rPr>
        <w:t xml:space="preserve">, kidney and colon, respectively. However, the effect of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was observed only </w:t>
      </w:r>
      <w:proofErr w:type="spellStart"/>
      <w:r w:rsidRPr="00EB4EA7">
        <w:rPr>
          <w:lang w:val="en-GB" w:eastAsia="en-GB"/>
        </w:rPr>
        <w:t>onsodium</w:t>
      </w:r>
      <w:proofErr w:type="spellEnd"/>
      <w:r w:rsidRPr="00EB4EA7">
        <w:rPr>
          <w:lang w:val="en-GB" w:eastAsia="en-GB"/>
        </w:rPr>
        <w:t xml:space="preserve"> level in serum (71%) and kidney (242%), and colon potassium (71%). Furthermore, activities of Na</w:t>
      </w:r>
      <w:r w:rsidRPr="00EB4EA7">
        <w:rPr>
          <w:vertAlign w:val="superscript"/>
          <w:lang w:val="en-GB" w:eastAsia="en-GB"/>
        </w:rPr>
        <w:t>+</w:t>
      </w:r>
      <w:r w:rsidRPr="00EB4EA7">
        <w:rPr>
          <w:lang w:val="en-GB" w:eastAsia="en-GB"/>
        </w:rPr>
        <w:t>/K</w:t>
      </w:r>
      <w:r w:rsidRPr="00EB4EA7">
        <w:rPr>
          <w:vertAlign w:val="superscript"/>
          <w:lang w:val="en-GB" w:eastAsia="en-GB"/>
        </w:rPr>
        <w:t>+</w:t>
      </w:r>
      <w:r w:rsidRPr="00EB4EA7">
        <w:rPr>
          <w:lang w:val="en-GB" w:eastAsia="en-GB"/>
        </w:rPr>
        <w:t>- and Ca</w:t>
      </w:r>
      <w:r w:rsidRPr="00EB4EA7">
        <w:rPr>
          <w:vertAlign w:val="superscript"/>
          <w:lang w:val="en-GB" w:eastAsia="en-GB"/>
        </w:rPr>
        <w:t>2+</w:t>
      </w:r>
      <w:r w:rsidRPr="00EB4EA7">
        <w:rPr>
          <w:lang w:val="en-GB" w:eastAsia="en-GB"/>
        </w:rPr>
        <w:t>/Mg</w:t>
      </w:r>
      <w:r w:rsidRPr="00EB4EA7">
        <w:rPr>
          <w:vertAlign w:val="superscript"/>
          <w:lang w:val="en-GB" w:eastAsia="en-GB"/>
        </w:rPr>
        <w:t>2+</w:t>
      </w:r>
      <w:r w:rsidRPr="00EB4EA7">
        <w:rPr>
          <w:lang w:val="en-GB" w:eastAsia="en-GB"/>
        </w:rPr>
        <w:t>-</w:t>
      </w:r>
      <w:proofErr w:type="spellStart"/>
      <w:r w:rsidRPr="00EB4EA7">
        <w:rPr>
          <w:lang w:val="en-GB" w:eastAsia="en-GB"/>
        </w:rPr>
        <w:t>ATPases</w:t>
      </w:r>
      <w:proofErr w:type="spellEnd"/>
      <w:r w:rsidRPr="00EB4EA7">
        <w:rPr>
          <w:lang w:val="en-GB" w:eastAsia="en-GB"/>
        </w:rPr>
        <w:t xml:space="preserve"> were significantly (p &lt; 0.05) inhibited in the kidney and colon of DMH control group, but was dose-</w:t>
      </w:r>
      <w:r w:rsidRPr="00EB4EA7">
        <w:rPr>
          <w:lang w:val="en-GB" w:eastAsia="en-GB"/>
        </w:rPr>
        <w:lastRenderedPageBreak/>
        <w:t xml:space="preserve">dependently reversed by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diets. There were significant (p &lt; 0.05) increases in levels of </w:t>
      </w:r>
      <w:proofErr w:type="spellStart"/>
      <w:r w:rsidRPr="00EB4EA7">
        <w:rPr>
          <w:lang w:val="en-GB" w:eastAsia="en-GB"/>
        </w:rPr>
        <w:t>malondialdehyde</w:t>
      </w:r>
      <w:proofErr w:type="spellEnd"/>
      <w:r w:rsidRPr="00EB4EA7">
        <w:rPr>
          <w:lang w:val="en-GB" w:eastAsia="en-GB"/>
        </w:rPr>
        <w:t xml:space="preserve"> (22, 30 and 33)% and </w:t>
      </w:r>
      <w:proofErr w:type="spellStart"/>
      <w:r w:rsidRPr="00EB4EA7">
        <w:rPr>
          <w:lang w:val="en-GB" w:eastAsia="en-GB"/>
        </w:rPr>
        <w:t>reducedglutathione</w:t>
      </w:r>
      <w:proofErr w:type="spellEnd"/>
      <w:r w:rsidRPr="00EB4EA7">
        <w:rPr>
          <w:lang w:val="en-GB" w:eastAsia="en-GB"/>
        </w:rPr>
        <w:t xml:space="preserve"> (23, 18 and 19)%, and 5</w:t>
      </w:r>
      <w:r w:rsidRPr="00EB4EA7">
        <w:rPr>
          <w:vertAlign w:val="superscript"/>
          <w:lang w:val="en-GB" w:eastAsia="en-GB"/>
        </w:rPr>
        <w:t xml:space="preserve">' </w:t>
      </w:r>
      <w:proofErr w:type="spellStart"/>
      <w:r w:rsidRPr="00EB4EA7">
        <w:rPr>
          <w:lang w:val="en-GB" w:eastAsia="en-GB"/>
        </w:rPr>
        <w:t>nucleotidase</w:t>
      </w:r>
      <w:proofErr w:type="spellEnd"/>
      <w:r w:rsidRPr="00EB4EA7">
        <w:rPr>
          <w:lang w:val="en-GB" w:eastAsia="en-GB"/>
        </w:rPr>
        <w:t xml:space="preserve"> activity (0.2, 1.2 and 2) fold, respectively </w:t>
      </w:r>
      <w:proofErr w:type="spellStart"/>
      <w:r w:rsidRPr="00EB4EA7">
        <w:rPr>
          <w:lang w:val="en-GB" w:eastAsia="en-GB"/>
        </w:rPr>
        <w:t>inserum</w:t>
      </w:r>
      <w:proofErr w:type="spellEnd"/>
      <w:r w:rsidRPr="00EB4EA7">
        <w:rPr>
          <w:lang w:val="en-GB" w:eastAsia="en-GB"/>
        </w:rPr>
        <w:t>, kidney and colon of DMH control compared with normal control. Gamma-</w:t>
      </w:r>
      <w:proofErr w:type="spellStart"/>
      <w:r w:rsidRPr="00EB4EA7">
        <w:rPr>
          <w:lang w:val="en-GB" w:eastAsia="en-GB"/>
        </w:rPr>
        <w:t>glutamylcysteine</w:t>
      </w:r>
      <w:proofErr w:type="spellEnd"/>
      <w:r w:rsidRPr="00EB4EA7">
        <w:rPr>
          <w:lang w:val="en-GB" w:eastAsia="en-GB"/>
        </w:rPr>
        <w:t xml:space="preserve"> </w:t>
      </w:r>
      <w:proofErr w:type="spellStart"/>
      <w:r w:rsidRPr="00EB4EA7">
        <w:rPr>
          <w:lang w:val="en-GB" w:eastAsia="en-GB"/>
        </w:rPr>
        <w:t>ligase</w:t>
      </w:r>
      <w:proofErr w:type="spellEnd"/>
      <w:r w:rsidRPr="00EB4EA7">
        <w:rPr>
          <w:lang w:val="en-GB" w:eastAsia="en-GB"/>
        </w:rPr>
        <w:t xml:space="preserve"> and glutathione </w:t>
      </w:r>
      <w:proofErr w:type="spellStart"/>
      <w:r w:rsidRPr="00EB4EA7">
        <w:rPr>
          <w:lang w:val="en-GB" w:eastAsia="en-GB"/>
        </w:rPr>
        <w:t>reductase</w:t>
      </w:r>
      <w:proofErr w:type="spellEnd"/>
      <w:r w:rsidRPr="00EB4EA7">
        <w:rPr>
          <w:lang w:val="en-GB" w:eastAsia="en-GB"/>
        </w:rPr>
        <w:t xml:space="preserve"> activities were significantly (p &lt; 0.05) activated, respectively in the kidney (2.7 and 2.2) fold and colon (3 and 3.1) fold of DMH control compared to normal control. The reverse was observed for vitamin E level in all the compartments and vitamin C in kidney and colon. Furthermore, the DMH control group exhibited significantly (p &lt; 0.05) down-regulated </w:t>
      </w:r>
      <w:proofErr w:type="spellStart"/>
      <w:r w:rsidRPr="00EB4EA7">
        <w:rPr>
          <w:lang w:val="en-GB" w:eastAsia="en-GB"/>
        </w:rPr>
        <w:t>adenomatous</w:t>
      </w:r>
      <w:proofErr w:type="spellEnd"/>
      <w:r w:rsidRPr="00EB4EA7">
        <w:rPr>
          <w:lang w:val="en-GB" w:eastAsia="en-GB"/>
        </w:rPr>
        <w:t xml:space="preserve"> </w:t>
      </w:r>
      <w:proofErr w:type="spellStart"/>
      <w:r w:rsidRPr="00EB4EA7">
        <w:rPr>
          <w:lang w:val="en-GB" w:eastAsia="en-GB"/>
        </w:rPr>
        <w:t>polyposis</w:t>
      </w:r>
      <w:proofErr w:type="spellEnd"/>
      <w:r w:rsidRPr="00EB4EA7">
        <w:rPr>
          <w:lang w:val="en-GB" w:eastAsia="en-GB"/>
        </w:rPr>
        <w:t xml:space="preserve"> coli, β-</w:t>
      </w:r>
      <w:proofErr w:type="spellStart"/>
      <w:r w:rsidRPr="00EB4EA7">
        <w:rPr>
          <w:lang w:val="en-GB" w:eastAsia="en-GB"/>
        </w:rPr>
        <w:t>catenin</w:t>
      </w:r>
      <w:proofErr w:type="spellEnd"/>
      <w:r w:rsidRPr="00EB4EA7">
        <w:rPr>
          <w:lang w:val="en-GB" w:eastAsia="en-GB"/>
        </w:rPr>
        <w:t>, and βcl</w:t>
      </w:r>
      <w:r w:rsidRPr="00EB4EA7">
        <w:rPr>
          <w:vertAlign w:val="subscript"/>
          <w:lang w:val="en-GB" w:eastAsia="en-GB"/>
        </w:rPr>
        <w:t xml:space="preserve">2 </w:t>
      </w:r>
      <w:r w:rsidRPr="00EB4EA7">
        <w:rPr>
          <w:lang w:val="en-GB" w:eastAsia="en-GB"/>
        </w:rPr>
        <w:t xml:space="preserve">genes; however, dietary inclusion of </w:t>
      </w:r>
      <w:proofErr w:type="spellStart"/>
      <w:r w:rsidRPr="00EB4EA7">
        <w:rPr>
          <w:lang w:val="en-GB" w:eastAsia="en-GB"/>
        </w:rPr>
        <w:t>chitosansignificantly</w:t>
      </w:r>
      <w:proofErr w:type="spellEnd"/>
      <w:r w:rsidRPr="00EB4EA7">
        <w:rPr>
          <w:lang w:val="en-GB" w:eastAsia="en-GB"/>
        </w:rPr>
        <w:t xml:space="preserve"> abrogated this effect. Also, </w:t>
      </w:r>
      <w:proofErr w:type="spellStart"/>
      <w:r w:rsidRPr="00EB4EA7">
        <w:rPr>
          <w:lang w:val="en-GB" w:eastAsia="en-GB"/>
        </w:rPr>
        <w:t>basophils</w:t>
      </w:r>
      <w:proofErr w:type="spellEnd"/>
      <w:r w:rsidRPr="00EB4EA7">
        <w:rPr>
          <w:lang w:val="en-GB" w:eastAsia="en-GB"/>
        </w:rPr>
        <w:t xml:space="preserve"> significantly (p &lt; 0.05) increased by 60% while </w:t>
      </w:r>
      <w:proofErr w:type="spellStart"/>
      <w:r w:rsidRPr="00EB4EA7">
        <w:rPr>
          <w:lang w:val="en-GB" w:eastAsia="en-GB"/>
        </w:rPr>
        <w:t>eosinophils</w:t>
      </w:r>
      <w:proofErr w:type="spellEnd"/>
      <w:r w:rsidRPr="00EB4EA7">
        <w:rPr>
          <w:lang w:val="en-GB" w:eastAsia="en-GB"/>
        </w:rPr>
        <w:t xml:space="preserve"> decreased by 97% in DMH control when compared to normal control; these changes were alleviated in groups given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. Altered </w:t>
      </w:r>
      <w:proofErr w:type="spellStart"/>
      <w:r w:rsidRPr="00EB4EA7">
        <w:rPr>
          <w:lang w:val="en-GB" w:eastAsia="en-GB"/>
        </w:rPr>
        <w:t>nephrotic</w:t>
      </w:r>
      <w:proofErr w:type="spellEnd"/>
      <w:r w:rsidRPr="00EB4EA7">
        <w:rPr>
          <w:lang w:val="en-GB" w:eastAsia="en-GB"/>
        </w:rPr>
        <w:t xml:space="preserve"> and colonic architecture observed </w:t>
      </w:r>
      <w:proofErr w:type="spellStart"/>
      <w:r w:rsidRPr="00EB4EA7">
        <w:rPr>
          <w:lang w:val="en-GB" w:eastAsia="en-GB"/>
        </w:rPr>
        <w:t>inDMH</w:t>
      </w:r>
      <w:proofErr w:type="spellEnd"/>
      <w:r w:rsidRPr="00EB4EA7">
        <w:rPr>
          <w:lang w:val="en-GB" w:eastAsia="en-GB"/>
        </w:rPr>
        <w:t xml:space="preserve"> control were effectively remedied with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. Conclusively, </w:t>
      </w:r>
      <w:proofErr w:type="spellStart"/>
      <w:r w:rsidRPr="00EB4EA7">
        <w:rPr>
          <w:lang w:val="en-GB" w:eastAsia="en-GB"/>
        </w:rPr>
        <w:t>chitosan</w:t>
      </w:r>
      <w:proofErr w:type="spellEnd"/>
      <w:r w:rsidRPr="00EB4EA7">
        <w:rPr>
          <w:lang w:val="en-GB" w:eastAsia="en-GB"/>
        </w:rPr>
        <w:t xml:space="preserve"> at 7.5% effectively ameliorated renal dysfunction associated with 1</w:t>
      </w:r>
      <w:proofErr w:type="gramStart"/>
      <w:r w:rsidRPr="00EB4EA7">
        <w:rPr>
          <w:lang w:val="en-GB" w:eastAsia="en-GB"/>
        </w:rPr>
        <w:t>,2</w:t>
      </w:r>
      <w:proofErr w:type="gramEnd"/>
      <w:r w:rsidRPr="00EB4EA7">
        <w:rPr>
          <w:lang w:val="en-GB" w:eastAsia="en-GB"/>
        </w:rPr>
        <w:t>-dimethylhydrazine-induced colorectal carcinogenesis.</w:t>
      </w:r>
    </w:p>
    <w:p w:rsidR="00F1053A" w:rsidRDefault="00F1053A"/>
    <w:sectPr w:rsidR="00F1053A" w:rsidSect="00F105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E0B" w:rsidRDefault="00570E07">
    <w:pPr>
      <w:spacing w:after="0" w:line="259" w:lineRule="auto"/>
      <w:ind w:left="0" w:firstLine="0"/>
      <w:jc w:val="center"/>
    </w:pPr>
    <w:r w:rsidRPr="006E0377">
      <w:fldChar w:fldCharType="begin"/>
    </w:r>
    <w:r>
      <w:instrText xml:space="preserve"> PAGE   \* MERGEFORMAT </w:instrText>
    </w:r>
    <w:r w:rsidRPr="006E0377"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</w:p>
  <w:p w:rsidR="00805E0B" w:rsidRDefault="00570E07">
    <w:pPr>
      <w:spacing w:after="0" w:line="259" w:lineRule="auto"/>
      <w:ind w:left="0" w:right="0" w:firstLine="0"/>
      <w:jc w:val="lef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4232957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F4FD2" w:rsidRDefault="00570E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05E0B" w:rsidRDefault="00570E07">
    <w:pPr>
      <w:spacing w:after="0" w:line="259" w:lineRule="auto"/>
      <w:ind w:left="0" w:right="0" w:firstLine="0"/>
      <w:jc w:val="lef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E0B" w:rsidRDefault="00570E07" w:rsidP="00AF4FD2">
    <w:pPr>
      <w:spacing w:after="0" w:line="259" w:lineRule="auto"/>
      <w:ind w:left="0" w:firstLine="0"/>
      <w:jc w:val="cen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E0B" w:rsidRDefault="00570E07">
    <w:pPr>
      <w:spacing w:after="0" w:line="259" w:lineRule="auto"/>
      <w:ind w:left="0" w:right="0" w:firstLine="0"/>
      <w:jc w:val="left"/>
    </w:pPr>
    <w:r>
      <w:rPr>
        <w:rFonts w:ascii="Wingdings" w:eastAsia="Wingdings" w:hAnsi="Wingdings" w:cs="Wingdings"/>
      </w:rPr>
      <w:t>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E0B" w:rsidRPr="007E10A5" w:rsidRDefault="00570E07">
    <w:pPr>
      <w:spacing w:after="0" w:line="259" w:lineRule="auto"/>
      <w:ind w:left="0" w:right="0" w:firstLine="0"/>
      <w:jc w:val="lef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5E0B" w:rsidRDefault="00570E07">
    <w:pPr>
      <w:spacing w:after="0" w:line="259" w:lineRule="auto"/>
      <w:ind w:left="0" w:right="0" w:firstLine="0"/>
      <w:jc w:val="left"/>
    </w:pPr>
    <w:r>
      <w:rPr>
        <w:rFonts w:ascii="Wingdings" w:eastAsia="Wingdings" w:hAnsi="Wingdings" w:cs="Wingdings"/>
      </w:rPr>
      <w:t>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570E07"/>
    <w:rsid w:val="00570E07"/>
    <w:rsid w:val="00F10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E07"/>
    <w:pPr>
      <w:spacing w:after="152" w:line="485" w:lineRule="auto"/>
      <w:ind w:left="10" w:right="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70E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E07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567</Words>
  <Characters>3236</Characters>
  <Application>Microsoft Office Word</Application>
  <DocSecurity>0</DocSecurity>
  <Lines>26</Lines>
  <Paragraphs>7</Paragraphs>
  <ScaleCrop>false</ScaleCrop>
  <Company/>
  <LinksUpToDate>false</LinksUpToDate>
  <CharactersWithSpaces>3796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2025-12-08T08:32:00Z</dcterms:created>
  <dcterms:modified xsi:type="dcterms:W3CDTF">2025-12-08T08:33:00Z</dcterms:modified>
</cp:coreProperties>
</file>