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306" w:rsidRDefault="00F67306" w:rsidP="00F67306">
      <w:pPr>
        <w:spacing w:after="0" w:line="480" w:lineRule="auto"/>
        <w:jc w:val="center"/>
        <w:rPr>
          <w:rFonts w:ascii="Times New Roman" w:hAnsi="Times New Roman"/>
          <w:b/>
          <w:sz w:val="24"/>
          <w:szCs w:val="24"/>
        </w:rPr>
      </w:pPr>
      <w:r>
        <w:rPr>
          <w:rFonts w:ascii="Times New Roman" w:hAnsi="Times New Roman"/>
          <w:b/>
          <w:sz w:val="24"/>
          <w:szCs w:val="24"/>
        </w:rPr>
        <w:t>ANALYSIS OF TECHNICAL AND NON-TECHNICAL LOSSES IN AN ELECTRICITY DISTRIBUTION SYSTEM</w:t>
      </w: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r>
        <w:rPr>
          <w:rFonts w:ascii="Times New Roman" w:hAnsi="Times New Roman"/>
          <w:b/>
          <w:sz w:val="24"/>
          <w:szCs w:val="24"/>
        </w:rPr>
        <w:t>BY</w:t>
      </w: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p>
    <w:p w:rsidR="00F67306" w:rsidRDefault="00F67306" w:rsidP="00F67306">
      <w:pPr>
        <w:tabs>
          <w:tab w:val="left" w:pos="3326"/>
        </w:tabs>
        <w:spacing w:after="0" w:line="480" w:lineRule="auto"/>
        <w:jc w:val="center"/>
        <w:rPr>
          <w:rFonts w:ascii="Times New Roman" w:hAnsi="Times New Roman"/>
          <w:b/>
          <w:sz w:val="24"/>
          <w:szCs w:val="24"/>
        </w:rPr>
      </w:pPr>
      <w:r>
        <w:rPr>
          <w:rFonts w:ascii="Times New Roman" w:hAnsi="Times New Roman"/>
          <w:b/>
          <w:sz w:val="24"/>
          <w:szCs w:val="24"/>
        </w:rPr>
        <w:t>ERINOSHO, JEREMIAH OLUWAMAYOWA (PG 17/0111)</w:t>
      </w:r>
    </w:p>
    <w:p w:rsidR="00F67306" w:rsidRDefault="00F67306" w:rsidP="00F67306">
      <w:pPr>
        <w:tabs>
          <w:tab w:val="left" w:pos="3326"/>
        </w:tabs>
        <w:spacing w:after="0" w:line="480" w:lineRule="auto"/>
        <w:jc w:val="center"/>
        <w:rPr>
          <w:rFonts w:ascii="Times New Roman" w:hAnsi="Times New Roman"/>
          <w:b/>
          <w:sz w:val="24"/>
          <w:szCs w:val="24"/>
        </w:rPr>
      </w:pPr>
      <w:r>
        <w:rPr>
          <w:rFonts w:ascii="Times New Roman" w:hAnsi="Times New Roman"/>
          <w:b/>
          <w:sz w:val="24"/>
          <w:szCs w:val="24"/>
        </w:rPr>
        <w:t>PGD ELECTRICAL AND ELECTRONICS ENGINEERING (FUNAAB)</w:t>
      </w:r>
    </w:p>
    <w:p w:rsidR="00F67306" w:rsidRDefault="00F67306" w:rsidP="00F67306">
      <w:pPr>
        <w:spacing w:after="0" w:line="480" w:lineRule="auto"/>
        <w:jc w:val="center"/>
        <w:rPr>
          <w:rFonts w:ascii="Times New Roman" w:hAnsi="Times New Roman"/>
          <w:b/>
          <w:sz w:val="24"/>
          <w:szCs w:val="24"/>
        </w:rPr>
      </w:pPr>
    </w:p>
    <w:p w:rsidR="00F67306" w:rsidRDefault="00F67306" w:rsidP="00F67306">
      <w:pPr>
        <w:spacing w:after="0" w:line="480" w:lineRule="auto"/>
        <w:rPr>
          <w:rFonts w:ascii="Times New Roman" w:hAnsi="Times New Roman"/>
          <w:b/>
          <w:sz w:val="24"/>
          <w:szCs w:val="24"/>
        </w:rPr>
      </w:pPr>
    </w:p>
    <w:p w:rsidR="00F67306" w:rsidRDefault="00F67306" w:rsidP="00F67306">
      <w:pPr>
        <w:spacing w:after="0" w:line="480" w:lineRule="auto"/>
        <w:jc w:val="center"/>
        <w:rPr>
          <w:rFonts w:ascii="Times New Roman" w:hAnsi="Times New Roman"/>
          <w:b/>
          <w:sz w:val="24"/>
          <w:szCs w:val="24"/>
        </w:rPr>
      </w:pPr>
      <w:r>
        <w:rPr>
          <w:rFonts w:ascii="Times New Roman" w:hAnsi="Times New Roman"/>
          <w:b/>
          <w:sz w:val="24"/>
          <w:szCs w:val="24"/>
        </w:rPr>
        <w:t>A DISSERTATION SUBMITTED TO THE DEPARTMENT OF ELECTRICAL AND ELECTRONICS ENGINEERING, COLLEGE OF ENGINEERING, FEDERAL UNIVERSITY OF AGRICULTURE, ABEOKUTA, IN PARTIAL FULFILMENT OF THE REQUIREMENTS FOR THE AWARD OF DEGREE OF M. ENG. IN ELECTRICAL AND ELECTRONICS ENGINEERING (ELECTRICAL POWER SYSTEMS AND MACHINES)</w:t>
      </w:r>
    </w:p>
    <w:p w:rsidR="00F67306" w:rsidRDefault="00F67306" w:rsidP="00F67306">
      <w:pPr>
        <w:spacing w:after="0" w:line="480" w:lineRule="auto"/>
        <w:rPr>
          <w:rFonts w:ascii="Times New Roman" w:hAnsi="Times New Roman"/>
          <w:b/>
          <w:sz w:val="24"/>
          <w:szCs w:val="24"/>
        </w:rPr>
      </w:pPr>
    </w:p>
    <w:p w:rsidR="00F67306" w:rsidRDefault="00F67306" w:rsidP="00F67306">
      <w:pPr>
        <w:jc w:val="center"/>
        <w:rPr>
          <w:rFonts w:ascii="Times New Roman" w:hAnsi="Times New Roman" w:cs="Times New Roman"/>
          <w:color w:val="000000" w:themeColor="text1"/>
          <w:sz w:val="24"/>
          <w:szCs w:val="24"/>
        </w:rPr>
      </w:pPr>
    </w:p>
    <w:p w:rsidR="00F67306" w:rsidRDefault="00F67306" w:rsidP="00F67306">
      <w:pPr>
        <w:pStyle w:val="TOC1"/>
      </w:pPr>
    </w:p>
    <w:p w:rsidR="00F67306" w:rsidRDefault="00F67306" w:rsidP="00F67306">
      <w:pPr>
        <w:pStyle w:val="TOC1"/>
      </w:pPr>
    </w:p>
    <w:p w:rsidR="00F67306" w:rsidRDefault="00F67306" w:rsidP="00F67306">
      <w:pPr>
        <w:pStyle w:val="TOC1"/>
      </w:pPr>
      <w:r>
        <w:t>SEPTEMBER 2024</w:t>
      </w:r>
    </w:p>
    <w:p w:rsidR="00F67306" w:rsidRPr="007A780A" w:rsidRDefault="00F67306" w:rsidP="00F67306">
      <w:pPr>
        <w:pStyle w:val="Heading1"/>
        <w:spacing w:line="480" w:lineRule="auto"/>
        <w:jc w:val="center"/>
      </w:pPr>
      <w:bookmarkStart w:id="0" w:name="_Toc176288974"/>
      <w:r w:rsidRPr="007A780A">
        <w:lastRenderedPageBreak/>
        <w:t>ABSTRACT</w:t>
      </w:r>
      <w:bookmarkEnd w:id="0"/>
    </w:p>
    <w:p w:rsidR="00F67306" w:rsidRDefault="00F67306" w:rsidP="00F6730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quality of </w:t>
      </w:r>
      <w:r w:rsidRPr="008C5140">
        <w:rPr>
          <w:rFonts w:ascii="Times New Roman" w:hAnsi="Times New Roman" w:cs="Times New Roman"/>
          <w:sz w:val="24"/>
          <w:szCs w:val="24"/>
        </w:rPr>
        <w:t xml:space="preserve">service delivery </w:t>
      </w:r>
      <w:r>
        <w:rPr>
          <w:rFonts w:ascii="Times New Roman" w:hAnsi="Times New Roman" w:cs="Times New Roman"/>
          <w:sz w:val="24"/>
          <w:szCs w:val="24"/>
        </w:rPr>
        <w:t>from electricity</w:t>
      </w:r>
      <w:r w:rsidRPr="008C5140">
        <w:rPr>
          <w:rFonts w:ascii="Times New Roman" w:hAnsi="Times New Roman" w:cs="Times New Roman"/>
          <w:sz w:val="24"/>
          <w:szCs w:val="24"/>
        </w:rPr>
        <w:t xml:space="preserve"> distribution network</w:t>
      </w:r>
      <w:r>
        <w:rPr>
          <w:rFonts w:ascii="Times New Roman" w:hAnsi="Times New Roman" w:cs="Times New Roman"/>
          <w:sz w:val="24"/>
          <w:szCs w:val="24"/>
        </w:rPr>
        <w:t>s (EDNs) d</w:t>
      </w:r>
      <w:r w:rsidRPr="008C5140">
        <w:rPr>
          <w:rFonts w:ascii="Times New Roman" w:hAnsi="Times New Roman" w:cs="Times New Roman"/>
          <w:sz w:val="24"/>
          <w:szCs w:val="24"/>
        </w:rPr>
        <w:t>espite the huge post-privatization intervention fund provided by the Federal Government of Nigeria is still fa</w:t>
      </w:r>
      <w:r>
        <w:rPr>
          <w:rFonts w:ascii="Times New Roman" w:hAnsi="Times New Roman" w:cs="Times New Roman"/>
          <w:sz w:val="24"/>
          <w:szCs w:val="24"/>
        </w:rPr>
        <w:t>r from being satisfactory due to aggregate technical, commercial and collection (ATC&amp;</w:t>
      </w:r>
      <w:r w:rsidRPr="008C5140">
        <w:rPr>
          <w:rFonts w:ascii="Times New Roman" w:hAnsi="Times New Roman" w:cs="Times New Roman"/>
          <w:sz w:val="24"/>
          <w:szCs w:val="24"/>
        </w:rPr>
        <w:t xml:space="preserve">C) losses. </w:t>
      </w:r>
      <w:r>
        <w:rPr>
          <w:rFonts w:ascii="Times New Roman" w:hAnsi="Times New Roman" w:cs="Times New Roman"/>
          <w:sz w:val="24"/>
          <w:szCs w:val="24"/>
        </w:rPr>
        <w:t xml:space="preserve">This study evaluated ATC&amp;C losses in an EDN using </w:t>
      </w:r>
      <w:r w:rsidRPr="008C5140">
        <w:rPr>
          <w:rFonts w:ascii="Times New Roman" w:hAnsi="Times New Roman" w:cs="Times New Roman"/>
          <w:sz w:val="24"/>
          <w:szCs w:val="24"/>
        </w:rPr>
        <w:t xml:space="preserve">FUNAAB 33kV </w:t>
      </w:r>
      <w:r>
        <w:rPr>
          <w:rFonts w:ascii="Times New Roman" w:hAnsi="Times New Roman" w:cs="Times New Roman"/>
          <w:sz w:val="24"/>
          <w:szCs w:val="24"/>
        </w:rPr>
        <w:t xml:space="preserve">and </w:t>
      </w:r>
      <w:proofErr w:type="spellStart"/>
      <w:r w:rsidRPr="008C5140">
        <w:rPr>
          <w:rFonts w:ascii="Times New Roman" w:hAnsi="Times New Roman" w:cs="Times New Roman"/>
          <w:sz w:val="24"/>
          <w:szCs w:val="24"/>
        </w:rPr>
        <w:t>Obantoko</w:t>
      </w:r>
      <w:proofErr w:type="spellEnd"/>
      <w:r w:rsidRPr="008C5140">
        <w:rPr>
          <w:rFonts w:ascii="Times New Roman" w:hAnsi="Times New Roman" w:cs="Times New Roman"/>
          <w:sz w:val="24"/>
          <w:szCs w:val="24"/>
        </w:rPr>
        <w:t xml:space="preserve"> 11kV distribution network feeders </w:t>
      </w:r>
      <w:r>
        <w:rPr>
          <w:rFonts w:ascii="Times New Roman" w:hAnsi="Times New Roman" w:cs="Times New Roman"/>
          <w:sz w:val="24"/>
          <w:szCs w:val="24"/>
        </w:rPr>
        <w:t xml:space="preserve">as case studies. The weekly data of injected power, energy consumed and energy billed on both feeders were collected from </w:t>
      </w:r>
      <w:r w:rsidRPr="008C5140">
        <w:rPr>
          <w:rFonts w:ascii="Times New Roman" w:hAnsi="Times New Roman" w:cs="Times New Roman"/>
          <w:sz w:val="24"/>
          <w:szCs w:val="24"/>
        </w:rPr>
        <w:t>Ibadan Electricity Distribution Company (IBEDC) for a period of six years (2018-2023)</w:t>
      </w:r>
      <w:r>
        <w:rPr>
          <w:rFonts w:ascii="Times New Roman" w:hAnsi="Times New Roman" w:cs="Times New Roman"/>
          <w:sz w:val="24"/>
          <w:szCs w:val="24"/>
        </w:rPr>
        <w:t xml:space="preserve">. The power </w:t>
      </w:r>
      <w:r w:rsidRPr="008C5140">
        <w:rPr>
          <w:rFonts w:ascii="Times New Roman" w:hAnsi="Times New Roman" w:cs="Times New Roman"/>
          <w:sz w:val="24"/>
          <w:szCs w:val="24"/>
        </w:rPr>
        <w:t xml:space="preserve">losses and voltage drops </w:t>
      </w:r>
      <w:r>
        <w:rPr>
          <w:rFonts w:ascii="Times New Roman" w:hAnsi="Times New Roman" w:cs="Times New Roman"/>
          <w:sz w:val="24"/>
          <w:szCs w:val="24"/>
        </w:rPr>
        <w:t xml:space="preserve">on the feeders were calculated using the formulated power equations comprising the parameters load factor, </w:t>
      </w:r>
      <w:r w:rsidRPr="009A34CF">
        <w:rPr>
          <w:rFonts w:ascii="Times New Roman" w:hAnsi="Times New Roman" w:cs="Times New Roman"/>
          <w:sz w:val="24"/>
          <w:szCs w:val="24"/>
        </w:rPr>
        <w:t>conductor</w:t>
      </w:r>
      <w:r>
        <w:rPr>
          <w:rFonts w:ascii="Times New Roman" w:hAnsi="Times New Roman" w:cs="Times New Roman"/>
          <w:sz w:val="24"/>
          <w:szCs w:val="24"/>
        </w:rPr>
        <w:t xml:space="preserve"> length, conductor cross-sectional area, conductor </w:t>
      </w:r>
      <w:proofErr w:type="spellStart"/>
      <w:r w:rsidRPr="009A34CF">
        <w:rPr>
          <w:rFonts w:ascii="Times New Roman" w:hAnsi="Times New Roman" w:cs="Times New Roman"/>
          <w:sz w:val="24"/>
          <w:szCs w:val="24"/>
        </w:rPr>
        <w:t>resistivity</w:t>
      </w:r>
      <w:r>
        <w:rPr>
          <w:rFonts w:ascii="Times New Roman" w:hAnsi="Times New Roman" w:cs="Times New Roman"/>
          <w:sz w:val="24"/>
          <w:szCs w:val="24"/>
        </w:rPr>
        <w:t>,maximum</w:t>
      </w:r>
      <w:proofErr w:type="spellEnd"/>
      <w:r>
        <w:rPr>
          <w:rFonts w:ascii="Times New Roman" w:hAnsi="Times New Roman" w:cs="Times New Roman"/>
          <w:sz w:val="24"/>
          <w:szCs w:val="24"/>
        </w:rPr>
        <w:t xml:space="preserve"> feeder loading, </w:t>
      </w:r>
      <w:r w:rsidRPr="009A34CF">
        <w:rPr>
          <w:rFonts w:ascii="Times New Roman" w:hAnsi="Times New Roman" w:cs="Times New Roman"/>
          <w:sz w:val="24"/>
          <w:szCs w:val="24"/>
        </w:rPr>
        <w:t>line voltage and power factor</w:t>
      </w:r>
      <w:r>
        <w:rPr>
          <w:rFonts w:ascii="Times New Roman" w:hAnsi="Times New Roman" w:cs="Times New Roman"/>
          <w:sz w:val="24"/>
          <w:szCs w:val="24"/>
        </w:rPr>
        <w:t xml:space="preserve">. The billing data were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to determine the commercial and collection losses. Physical assessment of the feeders as built was also carried out. </w:t>
      </w:r>
      <w:r w:rsidRPr="008C5140">
        <w:rPr>
          <w:rFonts w:ascii="Times New Roman" w:hAnsi="Times New Roman" w:cs="Times New Roman"/>
          <w:sz w:val="24"/>
          <w:szCs w:val="24"/>
        </w:rPr>
        <w:t xml:space="preserve">The </w:t>
      </w:r>
      <w:r>
        <w:rPr>
          <w:rFonts w:ascii="Times New Roman" w:hAnsi="Times New Roman" w:cs="Times New Roman"/>
          <w:sz w:val="24"/>
          <w:szCs w:val="24"/>
        </w:rPr>
        <w:t xml:space="preserve">obtained </w:t>
      </w:r>
      <w:r w:rsidRPr="008C5140">
        <w:rPr>
          <w:rFonts w:ascii="Times New Roman" w:hAnsi="Times New Roman" w:cs="Times New Roman"/>
          <w:sz w:val="24"/>
          <w:szCs w:val="24"/>
        </w:rPr>
        <w:t>results revealed that the highest power loss</w:t>
      </w:r>
      <w:r>
        <w:rPr>
          <w:rFonts w:ascii="Times New Roman" w:hAnsi="Times New Roman" w:cs="Times New Roman"/>
          <w:sz w:val="24"/>
          <w:szCs w:val="24"/>
        </w:rPr>
        <w:t xml:space="preserve">es of </w:t>
      </w:r>
      <w:r w:rsidRPr="008C5140">
        <w:rPr>
          <w:rFonts w:ascii="Times New Roman" w:hAnsi="Times New Roman" w:cs="Times New Roman"/>
          <w:sz w:val="24"/>
          <w:szCs w:val="24"/>
        </w:rPr>
        <w:t xml:space="preserve">11.74 </w:t>
      </w:r>
      <w:r>
        <w:rPr>
          <w:rFonts w:ascii="Times New Roman" w:hAnsi="Times New Roman" w:cs="Times New Roman"/>
          <w:sz w:val="24"/>
          <w:szCs w:val="24"/>
        </w:rPr>
        <w:t xml:space="preserve">and 6.682 MW, respectively, were observed on </w:t>
      </w:r>
      <w:r w:rsidRPr="008C5140">
        <w:rPr>
          <w:rFonts w:ascii="Times New Roman" w:hAnsi="Times New Roman" w:cs="Times New Roman"/>
          <w:sz w:val="24"/>
          <w:szCs w:val="24"/>
        </w:rPr>
        <w:t>FUNAAB 33 kV</w:t>
      </w:r>
      <w:r>
        <w:rPr>
          <w:rFonts w:ascii="Times New Roman" w:hAnsi="Times New Roman" w:cs="Times New Roman"/>
          <w:sz w:val="24"/>
          <w:szCs w:val="24"/>
        </w:rPr>
        <w:t xml:space="preserve"> and </w:t>
      </w:r>
      <w:proofErr w:type="spellStart"/>
      <w:r w:rsidRPr="008C5140">
        <w:rPr>
          <w:rFonts w:ascii="Times New Roman" w:hAnsi="Times New Roman" w:cs="Times New Roman"/>
          <w:sz w:val="24"/>
          <w:szCs w:val="24"/>
        </w:rPr>
        <w:t>Obantoko</w:t>
      </w:r>
      <w:proofErr w:type="spellEnd"/>
      <w:r w:rsidRPr="008C5140">
        <w:rPr>
          <w:rFonts w:ascii="Times New Roman" w:hAnsi="Times New Roman" w:cs="Times New Roman"/>
          <w:sz w:val="24"/>
          <w:szCs w:val="24"/>
        </w:rPr>
        <w:t xml:space="preserve"> 11 kV feeders</w:t>
      </w:r>
      <w:r>
        <w:rPr>
          <w:rFonts w:ascii="Times New Roman" w:hAnsi="Times New Roman" w:cs="Times New Roman"/>
          <w:sz w:val="24"/>
          <w:szCs w:val="24"/>
        </w:rPr>
        <w:t xml:space="preserve">. These losses which </w:t>
      </w:r>
      <w:r w:rsidRPr="008C5140">
        <w:rPr>
          <w:rFonts w:ascii="Times New Roman" w:hAnsi="Times New Roman" w:cs="Times New Roman"/>
          <w:sz w:val="24"/>
          <w:szCs w:val="24"/>
        </w:rPr>
        <w:t>occurred in the year 2022</w:t>
      </w:r>
      <w:r>
        <w:rPr>
          <w:rFonts w:ascii="Times New Roman" w:hAnsi="Times New Roman" w:cs="Times New Roman"/>
          <w:sz w:val="24"/>
          <w:szCs w:val="24"/>
        </w:rPr>
        <w:t xml:space="preserve"> corresponded to 5.86 and </w:t>
      </w:r>
      <w:r w:rsidRPr="008C5140">
        <w:rPr>
          <w:rFonts w:ascii="Times New Roman" w:hAnsi="Times New Roman" w:cs="Times New Roman"/>
          <w:sz w:val="24"/>
          <w:szCs w:val="24"/>
        </w:rPr>
        <w:t>10.85%</w:t>
      </w:r>
      <w:r>
        <w:rPr>
          <w:rFonts w:ascii="Times New Roman" w:hAnsi="Times New Roman" w:cs="Times New Roman"/>
          <w:sz w:val="24"/>
          <w:szCs w:val="24"/>
        </w:rPr>
        <w:t xml:space="preserve"> losses in power, of </w:t>
      </w:r>
      <w:r w:rsidRPr="008C5140">
        <w:rPr>
          <w:rFonts w:ascii="Times New Roman" w:hAnsi="Times New Roman" w:cs="Times New Roman"/>
          <w:sz w:val="24"/>
          <w:szCs w:val="24"/>
        </w:rPr>
        <w:t>200.4</w:t>
      </w:r>
      <w:r>
        <w:rPr>
          <w:rFonts w:ascii="Times New Roman" w:hAnsi="Times New Roman" w:cs="Times New Roman"/>
          <w:sz w:val="24"/>
          <w:szCs w:val="24"/>
        </w:rPr>
        <w:t xml:space="preserve"> and </w:t>
      </w:r>
      <w:r w:rsidRPr="008C5140">
        <w:rPr>
          <w:rFonts w:ascii="Times New Roman" w:hAnsi="Times New Roman" w:cs="Times New Roman"/>
          <w:sz w:val="24"/>
          <w:szCs w:val="24"/>
        </w:rPr>
        <w:t>61.56 MW</w:t>
      </w:r>
      <w:r>
        <w:rPr>
          <w:rFonts w:ascii="Times New Roman" w:hAnsi="Times New Roman" w:cs="Times New Roman"/>
          <w:sz w:val="24"/>
          <w:szCs w:val="24"/>
        </w:rPr>
        <w:t xml:space="preserve">, respectively, injected into both feeders. The voltage drop on </w:t>
      </w:r>
      <w:r w:rsidRPr="008C5140">
        <w:rPr>
          <w:rFonts w:ascii="Times New Roman" w:hAnsi="Times New Roman" w:cs="Times New Roman"/>
          <w:sz w:val="24"/>
          <w:szCs w:val="24"/>
        </w:rPr>
        <w:t>FUNAAB 33 kV</w:t>
      </w:r>
      <w:r>
        <w:rPr>
          <w:rFonts w:ascii="Times New Roman" w:hAnsi="Times New Roman" w:cs="Times New Roman"/>
          <w:sz w:val="24"/>
          <w:szCs w:val="24"/>
        </w:rPr>
        <w:t xml:space="preserve"> feeder over the study period ranged between 11.21 to 12.14% while it ranged between 17.96 to 18.45% on </w:t>
      </w:r>
      <w:proofErr w:type="spellStart"/>
      <w:r>
        <w:rPr>
          <w:rFonts w:ascii="Times New Roman" w:hAnsi="Times New Roman" w:cs="Times New Roman"/>
          <w:sz w:val="24"/>
          <w:szCs w:val="24"/>
        </w:rPr>
        <w:t>Obantoko</w:t>
      </w:r>
      <w:proofErr w:type="spellEnd"/>
      <w:r>
        <w:rPr>
          <w:rFonts w:ascii="Times New Roman" w:hAnsi="Times New Roman" w:cs="Times New Roman"/>
          <w:sz w:val="24"/>
          <w:szCs w:val="24"/>
        </w:rPr>
        <w:t xml:space="preserve"> 11 kV feeder. These values were found to exceed the permissible 10% limit of the operating voltage. The highest voltage drop of 12.14 and 18.45%, respectively observed on </w:t>
      </w:r>
      <w:r w:rsidRPr="008C5140">
        <w:rPr>
          <w:rFonts w:ascii="Times New Roman" w:hAnsi="Times New Roman" w:cs="Times New Roman"/>
          <w:sz w:val="24"/>
          <w:szCs w:val="24"/>
        </w:rPr>
        <w:t>FUNAAB 33 kV</w:t>
      </w:r>
      <w:r>
        <w:rPr>
          <w:rFonts w:ascii="Times New Roman" w:hAnsi="Times New Roman" w:cs="Times New Roman"/>
          <w:sz w:val="24"/>
          <w:szCs w:val="24"/>
        </w:rPr>
        <w:t xml:space="preserve"> and </w:t>
      </w:r>
      <w:proofErr w:type="spellStart"/>
      <w:r w:rsidRPr="008C5140">
        <w:rPr>
          <w:rFonts w:ascii="Times New Roman" w:hAnsi="Times New Roman" w:cs="Times New Roman"/>
          <w:sz w:val="24"/>
          <w:szCs w:val="24"/>
        </w:rPr>
        <w:t>Obantoko</w:t>
      </w:r>
      <w:proofErr w:type="spellEnd"/>
      <w:r w:rsidRPr="008C5140">
        <w:rPr>
          <w:rFonts w:ascii="Times New Roman" w:hAnsi="Times New Roman" w:cs="Times New Roman"/>
          <w:sz w:val="24"/>
          <w:szCs w:val="24"/>
        </w:rPr>
        <w:t xml:space="preserve"> 11 kV feeders</w:t>
      </w:r>
      <w:r>
        <w:rPr>
          <w:rFonts w:ascii="Times New Roman" w:hAnsi="Times New Roman" w:cs="Times New Roman"/>
          <w:sz w:val="24"/>
          <w:szCs w:val="24"/>
        </w:rPr>
        <w:t xml:space="preserve"> occurred in the year 2022. Further observations revealed that 68% of the 20.26 km length of </w:t>
      </w:r>
      <w:proofErr w:type="spellStart"/>
      <w:r>
        <w:rPr>
          <w:rFonts w:ascii="Times New Roman" w:hAnsi="Times New Roman" w:cs="Times New Roman"/>
          <w:sz w:val="24"/>
          <w:szCs w:val="24"/>
        </w:rPr>
        <w:t>Obantoko</w:t>
      </w:r>
      <w:proofErr w:type="spellEnd"/>
      <w:r>
        <w:rPr>
          <w:rFonts w:ascii="Times New Roman" w:hAnsi="Times New Roman" w:cs="Times New Roman"/>
          <w:sz w:val="24"/>
          <w:szCs w:val="24"/>
        </w:rPr>
        <w:t xml:space="preserve"> 11 kV feeder involved the use of under-rated 70 mm</w:t>
      </w:r>
      <w:r w:rsidRPr="005E314E">
        <w:rPr>
          <w:rFonts w:ascii="Times New Roman" w:hAnsi="Times New Roman" w:cs="Times New Roman"/>
          <w:sz w:val="24"/>
          <w:szCs w:val="24"/>
          <w:vertAlign w:val="superscript"/>
        </w:rPr>
        <w:t>2</w:t>
      </w:r>
      <w:r>
        <w:rPr>
          <w:rFonts w:ascii="Times New Roman" w:hAnsi="Times New Roman" w:cs="Times New Roman"/>
          <w:sz w:val="24"/>
          <w:szCs w:val="24"/>
        </w:rPr>
        <w:t>aluminium conductor (</w:t>
      </w:r>
      <w:proofErr w:type="spellStart"/>
      <w:r>
        <w:rPr>
          <w:rFonts w:ascii="Times New Roman" w:hAnsi="Times New Roman" w:cs="Times New Roman"/>
          <w:sz w:val="24"/>
          <w:szCs w:val="24"/>
        </w:rPr>
        <w:t>AlC</w:t>
      </w:r>
      <w:proofErr w:type="spellEnd"/>
      <w:r>
        <w:rPr>
          <w:rFonts w:ascii="Times New Roman" w:hAnsi="Times New Roman" w:cs="Times New Roman"/>
          <w:sz w:val="24"/>
          <w:szCs w:val="24"/>
        </w:rPr>
        <w:t xml:space="preserve">), leading to high power loss and voltage drop unlike FUNAAB 33 kV feeder where 63% of the 57.4 km length of the line was constructed with the </w:t>
      </w:r>
      <w:r>
        <w:rPr>
          <w:rFonts w:ascii="Times New Roman" w:hAnsi="Times New Roman" w:cs="Times New Roman"/>
          <w:sz w:val="24"/>
          <w:szCs w:val="24"/>
        </w:rPr>
        <w:lastRenderedPageBreak/>
        <w:t>standard 150 mm</w:t>
      </w:r>
      <w:r w:rsidRPr="005E314E">
        <w:rPr>
          <w:rFonts w:ascii="Times New Roman" w:hAnsi="Times New Roman" w:cs="Times New Roman"/>
          <w:sz w:val="24"/>
          <w:szCs w:val="24"/>
          <w:vertAlign w:val="superscript"/>
        </w:rPr>
        <w:t>2</w:t>
      </w:r>
      <w:r>
        <w:rPr>
          <w:rFonts w:ascii="Times New Roman" w:hAnsi="Times New Roman" w:cs="Times New Roman"/>
          <w:sz w:val="24"/>
          <w:szCs w:val="24"/>
        </w:rPr>
        <w:t xml:space="preserve">AlC. Analysis of commercial and collection losses on both feeders revealed </w:t>
      </w:r>
      <w:r w:rsidRPr="008C5140">
        <w:rPr>
          <w:rFonts w:ascii="Times New Roman" w:hAnsi="Times New Roman" w:cs="Times New Roman"/>
          <w:sz w:val="24"/>
          <w:szCs w:val="24"/>
          <w:highlight w:val="white"/>
        </w:rPr>
        <w:t>a remarkable energy accountability challenges throughout the study period</w:t>
      </w:r>
      <w:proofErr w:type="gramStart"/>
      <w:r>
        <w:rPr>
          <w:rFonts w:ascii="Times New Roman" w:hAnsi="Times New Roman" w:cs="Times New Roman"/>
          <w:sz w:val="24"/>
          <w:szCs w:val="24"/>
          <w:highlight w:val="white"/>
        </w:rPr>
        <w:t xml:space="preserve">, </w:t>
      </w:r>
      <w:r w:rsidRPr="008C5140">
        <w:rPr>
          <w:rFonts w:ascii="Times New Roman" w:hAnsi="Times New Roman" w:cs="Times New Roman"/>
          <w:sz w:val="24"/>
          <w:szCs w:val="24"/>
          <w:highlight w:val="white"/>
        </w:rPr>
        <w:t xml:space="preserve"> a</w:t>
      </w:r>
      <w:proofErr w:type="gramEnd"/>
      <w:r w:rsidRPr="008C5140">
        <w:rPr>
          <w:rFonts w:ascii="Times New Roman" w:hAnsi="Times New Roman" w:cs="Times New Roman"/>
          <w:sz w:val="24"/>
          <w:szCs w:val="24"/>
          <w:highlight w:val="white"/>
        </w:rPr>
        <w:t xml:space="preserve"> continual gap in energy receiv</w:t>
      </w:r>
      <w:r>
        <w:rPr>
          <w:rFonts w:ascii="Times New Roman" w:hAnsi="Times New Roman" w:cs="Times New Roman"/>
          <w:sz w:val="24"/>
          <w:szCs w:val="24"/>
          <w:highlight w:val="white"/>
        </w:rPr>
        <w:t xml:space="preserve">ed and billed was </w:t>
      </w:r>
      <w:proofErr w:type="spellStart"/>
      <w:r>
        <w:rPr>
          <w:rFonts w:ascii="Times New Roman" w:hAnsi="Times New Roman" w:cs="Times New Roman"/>
          <w:sz w:val="24"/>
          <w:szCs w:val="24"/>
          <w:highlight w:val="white"/>
        </w:rPr>
        <w:t>evident.</w:t>
      </w:r>
      <w:r w:rsidRPr="008C5140">
        <w:rPr>
          <w:rFonts w:ascii="Times New Roman" w:hAnsi="Times New Roman" w:cs="Times New Roman"/>
          <w:sz w:val="24"/>
          <w:szCs w:val="24"/>
        </w:rPr>
        <w:t>T</w:t>
      </w:r>
      <w:r w:rsidRPr="008C5140">
        <w:rPr>
          <w:rFonts w:ascii="Times New Roman" w:hAnsi="Times New Roman" w:cs="Times New Roman"/>
          <w:sz w:val="24"/>
          <w:szCs w:val="24"/>
          <w:highlight w:val="white"/>
        </w:rPr>
        <w:t>he</w:t>
      </w:r>
      <w:proofErr w:type="spellEnd"/>
      <w:r>
        <w:rPr>
          <w:rFonts w:ascii="Times New Roman" w:hAnsi="Times New Roman" w:cs="Times New Roman"/>
          <w:sz w:val="24"/>
          <w:szCs w:val="24"/>
          <w:highlight w:val="white"/>
        </w:rPr>
        <w:t xml:space="preserve"> highest </w:t>
      </w:r>
      <w:r w:rsidRPr="008C5140">
        <w:rPr>
          <w:rFonts w:ascii="Times New Roman" w:hAnsi="Times New Roman" w:cs="Times New Roman"/>
          <w:sz w:val="24"/>
          <w:szCs w:val="24"/>
          <w:highlight w:val="white"/>
        </w:rPr>
        <w:t xml:space="preserve">commercial loss </w:t>
      </w:r>
      <w:r>
        <w:rPr>
          <w:rFonts w:ascii="Times New Roman" w:hAnsi="Times New Roman" w:cs="Times New Roman"/>
          <w:sz w:val="24"/>
          <w:szCs w:val="24"/>
          <w:highlight w:val="white"/>
        </w:rPr>
        <w:t xml:space="preserve">of </w:t>
      </w:r>
      <w:r w:rsidRPr="006169C5">
        <w:rPr>
          <w:rFonts w:ascii="Times New Roman" w:hAnsi="Times New Roman" w:cs="Times New Roman"/>
          <w:sz w:val="24"/>
          <w:szCs w:val="24"/>
        </w:rPr>
        <w:t>₦</w:t>
      </w:r>
      <w:r>
        <w:rPr>
          <w:rFonts w:ascii="Times New Roman" w:hAnsi="Times New Roman" w:cs="Times New Roman"/>
          <w:sz w:val="24"/>
          <w:szCs w:val="24"/>
          <w:highlight w:val="white"/>
        </w:rPr>
        <w:t xml:space="preserve">3,683,071 </w:t>
      </w:r>
      <w:r w:rsidRPr="008C5140">
        <w:rPr>
          <w:rFonts w:ascii="Times New Roman" w:hAnsi="Times New Roman" w:cs="Times New Roman"/>
          <w:sz w:val="24"/>
          <w:szCs w:val="24"/>
          <w:highlight w:val="white"/>
        </w:rPr>
        <w:t xml:space="preserve">on FUNAAB 33 kV feeder </w:t>
      </w:r>
      <w:r>
        <w:rPr>
          <w:rFonts w:ascii="Times New Roman" w:hAnsi="Times New Roman" w:cs="Times New Roman"/>
          <w:sz w:val="24"/>
          <w:szCs w:val="24"/>
          <w:highlight w:val="white"/>
        </w:rPr>
        <w:t xml:space="preserve">occurred </w:t>
      </w:r>
      <w:r w:rsidRPr="008C5140">
        <w:rPr>
          <w:rFonts w:ascii="Times New Roman" w:hAnsi="Times New Roman" w:cs="Times New Roman"/>
          <w:sz w:val="24"/>
          <w:szCs w:val="24"/>
          <w:highlight w:val="white"/>
        </w:rPr>
        <w:t>in the year 2022 while the collection loss was highest in the year 2020</w:t>
      </w:r>
      <w:r>
        <w:rPr>
          <w:rFonts w:ascii="Times New Roman" w:hAnsi="Times New Roman" w:cs="Times New Roman"/>
          <w:sz w:val="24"/>
          <w:szCs w:val="24"/>
          <w:highlight w:val="white"/>
        </w:rPr>
        <w:t xml:space="preserve"> at a worth </w:t>
      </w:r>
      <w:r>
        <w:rPr>
          <w:rFonts w:ascii="Times New Roman" w:hAnsi="Times New Roman" w:cs="Times New Roman"/>
          <w:sz w:val="24"/>
          <w:szCs w:val="24"/>
        </w:rPr>
        <w:t xml:space="preserve">of </w:t>
      </w:r>
      <w:r w:rsidRPr="006169C5">
        <w:rPr>
          <w:rFonts w:ascii="Times New Roman" w:hAnsi="Times New Roman" w:cs="Times New Roman"/>
          <w:sz w:val="24"/>
          <w:szCs w:val="24"/>
        </w:rPr>
        <w:t>₦</w:t>
      </w:r>
      <w:r>
        <w:rPr>
          <w:rFonts w:ascii="Times New Roman" w:hAnsi="Times New Roman" w:cs="Times New Roman"/>
          <w:sz w:val="24"/>
          <w:szCs w:val="24"/>
          <w:highlight w:val="white"/>
        </w:rPr>
        <w:t>328,752,293. Similarly, t</w:t>
      </w:r>
      <w:r w:rsidRPr="008C5140">
        <w:rPr>
          <w:rFonts w:ascii="Times New Roman" w:hAnsi="Times New Roman" w:cs="Times New Roman"/>
          <w:sz w:val="24"/>
          <w:szCs w:val="24"/>
          <w:highlight w:val="white"/>
        </w:rPr>
        <w:t>he</w:t>
      </w:r>
      <w:r>
        <w:rPr>
          <w:rFonts w:ascii="Times New Roman" w:hAnsi="Times New Roman" w:cs="Times New Roman"/>
          <w:sz w:val="24"/>
          <w:szCs w:val="24"/>
          <w:highlight w:val="white"/>
        </w:rPr>
        <w:t xml:space="preserve"> highest</w:t>
      </w:r>
      <w:r w:rsidRPr="008C5140">
        <w:rPr>
          <w:rFonts w:ascii="Times New Roman" w:hAnsi="Times New Roman" w:cs="Times New Roman"/>
          <w:sz w:val="24"/>
          <w:szCs w:val="24"/>
          <w:highlight w:val="white"/>
        </w:rPr>
        <w:t xml:space="preserve"> commercial loss</w:t>
      </w:r>
      <w:r>
        <w:rPr>
          <w:rFonts w:ascii="Times New Roman" w:hAnsi="Times New Roman" w:cs="Times New Roman"/>
          <w:sz w:val="24"/>
          <w:szCs w:val="24"/>
          <w:highlight w:val="white"/>
        </w:rPr>
        <w:t xml:space="preserve"> of </w:t>
      </w:r>
      <w:r w:rsidRPr="006169C5">
        <w:rPr>
          <w:rFonts w:ascii="Times New Roman" w:hAnsi="Times New Roman" w:cs="Times New Roman"/>
          <w:sz w:val="24"/>
          <w:szCs w:val="24"/>
        </w:rPr>
        <w:t>₦</w:t>
      </w:r>
      <w:r>
        <w:rPr>
          <w:rFonts w:ascii="Times New Roman" w:hAnsi="Times New Roman" w:cs="Times New Roman"/>
          <w:sz w:val="24"/>
          <w:szCs w:val="24"/>
          <w:highlight w:val="white"/>
        </w:rPr>
        <w:t xml:space="preserve">4,202,467experienced </w:t>
      </w:r>
      <w:r w:rsidRPr="008C5140">
        <w:rPr>
          <w:rFonts w:ascii="Times New Roman" w:hAnsi="Times New Roman" w:cs="Times New Roman"/>
          <w:sz w:val="24"/>
          <w:szCs w:val="24"/>
          <w:highlight w:val="white"/>
        </w:rPr>
        <w:t xml:space="preserve">on </w:t>
      </w:r>
      <w:proofErr w:type="spellStart"/>
      <w:r w:rsidRPr="008C5140">
        <w:rPr>
          <w:rFonts w:ascii="Times New Roman" w:hAnsi="Times New Roman" w:cs="Times New Roman"/>
          <w:sz w:val="24"/>
          <w:szCs w:val="24"/>
          <w:highlight w:val="white"/>
        </w:rPr>
        <w:t>Obantoko</w:t>
      </w:r>
      <w:proofErr w:type="spellEnd"/>
      <w:r w:rsidRPr="008C5140">
        <w:rPr>
          <w:rFonts w:ascii="Times New Roman" w:hAnsi="Times New Roman" w:cs="Times New Roman"/>
          <w:sz w:val="24"/>
          <w:szCs w:val="24"/>
          <w:highlight w:val="white"/>
        </w:rPr>
        <w:t xml:space="preserve"> 11 kV feeder </w:t>
      </w:r>
      <w:r>
        <w:rPr>
          <w:rFonts w:ascii="Times New Roman" w:hAnsi="Times New Roman" w:cs="Times New Roman"/>
          <w:sz w:val="24"/>
          <w:szCs w:val="24"/>
          <w:highlight w:val="white"/>
        </w:rPr>
        <w:t xml:space="preserve">occurred in </w:t>
      </w:r>
      <w:r w:rsidRPr="008C5140">
        <w:rPr>
          <w:rFonts w:ascii="Times New Roman" w:hAnsi="Times New Roman" w:cs="Times New Roman"/>
          <w:sz w:val="24"/>
          <w:szCs w:val="24"/>
          <w:highlight w:val="white"/>
        </w:rPr>
        <w:t xml:space="preserve">the year 2023 while the </w:t>
      </w:r>
      <w:r>
        <w:rPr>
          <w:rFonts w:ascii="Times New Roman" w:hAnsi="Times New Roman" w:cs="Times New Roman"/>
          <w:sz w:val="24"/>
          <w:szCs w:val="24"/>
          <w:highlight w:val="white"/>
        </w:rPr>
        <w:t xml:space="preserve">highest </w:t>
      </w:r>
      <w:r w:rsidRPr="008C5140">
        <w:rPr>
          <w:rFonts w:ascii="Times New Roman" w:hAnsi="Times New Roman" w:cs="Times New Roman"/>
          <w:sz w:val="24"/>
          <w:szCs w:val="24"/>
          <w:highlight w:val="white"/>
        </w:rPr>
        <w:t>collection loss</w:t>
      </w:r>
      <w:r>
        <w:rPr>
          <w:rFonts w:ascii="Times New Roman" w:hAnsi="Times New Roman" w:cs="Times New Roman"/>
          <w:sz w:val="24"/>
          <w:szCs w:val="24"/>
          <w:highlight w:val="white"/>
        </w:rPr>
        <w:t xml:space="preserve"> of </w:t>
      </w:r>
      <w:r w:rsidRPr="006169C5">
        <w:rPr>
          <w:rFonts w:ascii="Times New Roman" w:hAnsi="Times New Roman" w:cs="Times New Roman"/>
          <w:sz w:val="24"/>
          <w:szCs w:val="24"/>
        </w:rPr>
        <w:t>₦</w:t>
      </w:r>
      <w:r>
        <w:rPr>
          <w:rFonts w:ascii="Times New Roman" w:hAnsi="Times New Roman" w:cs="Times New Roman"/>
          <w:sz w:val="24"/>
          <w:szCs w:val="24"/>
        </w:rPr>
        <w:t>149,056,487</w:t>
      </w:r>
      <w:r>
        <w:rPr>
          <w:rFonts w:ascii="Times New Roman" w:hAnsi="Times New Roman" w:cs="Times New Roman"/>
          <w:sz w:val="24"/>
          <w:szCs w:val="24"/>
          <w:highlight w:val="white"/>
        </w:rPr>
        <w:t xml:space="preserve"> was experienced in </w:t>
      </w:r>
      <w:r w:rsidRPr="008C5140">
        <w:rPr>
          <w:rFonts w:ascii="Times New Roman" w:hAnsi="Times New Roman" w:cs="Times New Roman"/>
          <w:sz w:val="24"/>
          <w:szCs w:val="24"/>
          <w:highlight w:val="white"/>
        </w:rPr>
        <w:t>the year 2021.</w:t>
      </w:r>
      <w:r>
        <w:rPr>
          <w:rFonts w:ascii="Times New Roman" w:hAnsi="Times New Roman" w:cs="Times New Roman"/>
          <w:sz w:val="24"/>
          <w:szCs w:val="24"/>
        </w:rPr>
        <w:t xml:space="preserve">These results were indication that feeder characteristics, </w:t>
      </w:r>
      <w:r w:rsidRPr="008C5140">
        <w:rPr>
          <w:rFonts w:ascii="Times New Roman" w:hAnsi="Times New Roman" w:cs="Times New Roman"/>
          <w:sz w:val="24"/>
          <w:szCs w:val="24"/>
        </w:rPr>
        <w:t>billing and consumer enumeration systems</w:t>
      </w:r>
      <w:r>
        <w:rPr>
          <w:rFonts w:ascii="Times New Roman" w:hAnsi="Times New Roman" w:cs="Times New Roman"/>
          <w:sz w:val="24"/>
          <w:szCs w:val="24"/>
        </w:rPr>
        <w:t xml:space="preserve"> were key factors that appreciably influenced ATC&amp;C </w:t>
      </w:r>
      <w:proofErr w:type="spellStart"/>
      <w:r>
        <w:rPr>
          <w:rFonts w:ascii="Times New Roman" w:hAnsi="Times New Roman" w:cs="Times New Roman"/>
          <w:sz w:val="24"/>
          <w:szCs w:val="24"/>
        </w:rPr>
        <w:t>losseson</w:t>
      </w:r>
      <w:proofErr w:type="spellEnd"/>
      <w:r>
        <w:rPr>
          <w:rFonts w:ascii="Times New Roman" w:hAnsi="Times New Roman" w:cs="Times New Roman"/>
          <w:sz w:val="24"/>
          <w:szCs w:val="24"/>
        </w:rPr>
        <w:t xml:space="preserve"> the case feeders. The aggregate technical, commercial and collection losses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in the study revealed the operational inefficiencies of the considered electricity distribution network feeders.  </w:t>
      </w:r>
    </w:p>
    <w:p w:rsidR="002A79C1" w:rsidRDefault="002A79C1"/>
    <w:sectPr w:rsidR="002A79C1" w:rsidSect="002A79C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F67306"/>
    <w:rsid w:val="002A79C1"/>
    <w:rsid w:val="00F6730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306"/>
    <w:pPr>
      <w:spacing w:after="160" w:line="259" w:lineRule="auto"/>
    </w:pPr>
  </w:style>
  <w:style w:type="paragraph" w:styleId="Heading1">
    <w:name w:val="heading 1"/>
    <w:basedOn w:val="Normal"/>
    <w:next w:val="Normal"/>
    <w:link w:val="Heading1Char"/>
    <w:uiPriority w:val="9"/>
    <w:qFormat/>
    <w:rsid w:val="00F67306"/>
    <w:pPr>
      <w:keepNext/>
      <w:keepLines/>
      <w:spacing w:before="240" w:after="0" w:line="240" w:lineRule="auto"/>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7306"/>
    <w:rPr>
      <w:rFonts w:ascii="Times New Roman" w:eastAsiaTheme="majorEastAsia" w:hAnsi="Times New Roman" w:cstheme="majorBidi"/>
      <w:b/>
      <w:color w:val="000000" w:themeColor="text1"/>
      <w:sz w:val="24"/>
      <w:szCs w:val="32"/>
    </w:rPr>
  </w:style>
  <w:style w:type="paragraph" w:styleId="TOC1">
    <w:name w:val="toc 1"/>
    <w:basedOn w:val="Normal"/>
    <w:next w:val="Normal"/>
    <w:autoRedefine/>
    <w:uiPriority w:val="39"/>
    <w:unhideWhenUsed/>
    <w:rsid w:val="00F67306"/>
    <w:pPr>
      <w:spacing w:after="100" w:line="276" w:lineRule="auto"/>
      <w:jc w:val="center"/>
    </w:pPr>
    <w:rPr>
      <w:rFonts w:ascii="Times New Roman" w:eastAsiaTheme="minorEastAsia" w:hAnsi="Times New Roman"/>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522</Words>
  <Characters>2979</Characters>
  <Application>Microsoft Office Word</Application>
  <DocSecurity>0</DocSecurity>
  <Lines>24</Lines>
  <Paragraphs>6</Paragraphs>
  <ScaleCrop>false</ScaleCrop>
  <Company/>
  <LinksUpToDate>false</LinksUpToDate>
  <CharactersWithSpaces>3495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2025-12-03T09:13:00Z</dcterms:created>
  <dcterms:modified xsi:type="dcterms:W3CDTF">2025-12-03T09:13:00Z</dcterms:modified>
</cp:coreProperties>
</file>