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3F6B" w:rsidRPr="00BA2CD9" w:rsidRDefault="000C3F6B" w:rsidP="000C3F6B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Toc27566315"/>
      <w:r w:rsidRPr="001C7AEB">
        <w:rPr>
          <w:rFonts w:ascii="Times New Roman" w:hAnsi="Times New Roman"/>
          <w:b/>
          <w:sz w:val="24"/>
          <w:szCs w:val="24"/>
        </w:rPr>
        <w:t>RESPONSE OF GUINEA FOWL (</w:t>
      </w:r>
      <w:proofErr w:type="spellStart"/>
      <w:r w:rsidRPr="001C7AEB">
        <w:rPr>
          <w:rFonts w:ascii="Times New Roman" w:hAnsi="Times New Roman"/>
          <w:b/>
          <w:i/>
          <w:sz w:val="24"/>
          <w:szCs w:val="24"/>
        </w:rPr>
        <w:t>Numida</w:t>
      </w:r>
      <w:proofErr w:type="spellEnd"/>
      <w:r w:rsidRPr="001C7AEB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1C7AEB">
        <w:rPr>
          <w:rFonts w:ascii="Times New Roman" w:hAnsi="Times New Roman"/>
          <w:b/>
          <w:i/>
          <w:sz w:val="24"/>
          <w:szCs w:val="24"/>
        </w:rPr>
        <w:t>meleagris</w:t>
      </w:r>
      <w:proofErr w:type="spellEnd"/>
      <w:r w:rsidRPr="001C7AEB">
        <w:rPr>
          <w:rFonts w:ascii="Times New Roman" w:hAnsi="Times New Roman"/>
          <w:b/>
          <w:sz w:val="24"/>
          <w:szCs w:val="24"/>
        </w:rPr>
        <w:t xml:space="preserve">) TO </w:t>
      </w:r>
      <w:r w:rsidRPr="00BA5BD0">
        <w:rPr>
          <w:rFonts w:ascii="Times New Roman" w:hAnsi="Times New Roman"/>
          <w:b/>
          <w:i/>
          <w:sz w:val="24"/>
          <w:szCs w:val="24"/>
        </w:rPr>
        <w:t>IN OVO</w:t>
      </w:r>
      <w:r w:rsidRPr="001C7AEB">
        <w:rPr>
          <w:rFonts w:ascii="Times New Roman" w:hAnsi="Times New Roman"/>
          <w:b/>
          <w:sz w:val="24"/>
          <w:szCs w:val="24"/>
        </w:rPr>
        <w:t xml:space="preserve"> INJECTION OF VITAMIN B6 </w:t>
      </w:r>
      <w:r>
        <w:rPr>
          <w:rFonts w:ascii="Times New Roman" w:hAnsi="Times New Roman"/>
          <w:b/>
          <w:sz w:val="24"/>
          <w:szCs w:val="24"/>
        </w:rPr>
        <w:t>ON</w:t>
      </w:r>
      <w:r w:rsidRPr="001C7AEB">
        <w:rPr>
          <w:rFonts w:ascii="Times New Roman" w:hAnsi="Times New Roman"/>
          <w:b/>
          <w:sz w:val="24"/>
          <w:szCs w:val="24"/>
        </w:rPr>
        <w:t xml:space="preserve"> DIFFERENT EMBRYONIC DAYS</w:t>
      </w:r>
    </w:p>
    <w:p w:rsidR="000C3F6B" w:rsidRPr="00BA2CD9" w:rsidRDefault="000C3F6B" w:rsidP="000C3F6B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C3F6B" w:rsidRDefault="000C3F6B" w:rsidP="000C3F6B">
      <w:pPr>
        <w:tabs>
          <w:tab w:val="left" w:pos="630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BY</w:t>
      </w:r>
    </w:p>
    <w:p w:rsidR="000C3F6B" w:rsidRDefault="000C3F6B" w:rsidP="000C3F6B">
      <w:pPr>
        <w:tabs>
          <w:tab w:val="left" w:pos="630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C3F6B" w:rsidRDefault="000C3F6B" w:rsidP="000C3F6B">
      <w:pPr>
        <w:tabs>
          <w:tab w:val="left" w:pos="630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C3F6B" w:rsidRDefault="000C3F6B" w:rsidP="000C3F6B">
      <w:pPr>
        <w:tabs>
          <w:tab w:val="left" w:pos="630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C3F6B" w:rsidRDefault="000C3F6B" w:rsidP="000C3F6B">
      <w:pPr>
        <w:tabs>
          <w:tab w:val="left" w:pos="630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C3F6B" w:rsidRDefault="000C3F6B" w:rsidP="000C3F6B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ELETU, TEMITAYO ABISODUN</w:t>
      </w:r>
    </w:p>
    <w:p w:rsidR="000C3F6B" w:rsidRDefault="000C3F6B" w:rsidP="000C3F6B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MATRIC NO: PG 23/0015</w:t>
      </w:r>
    </w:p>
    <w:p w:rsidR="000C3F6B" w:rsidRDefault="000C3F6B" w:rsidP="000C3F6B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ND (ADO-EKITI), </w:t>
      </w:r>
      <w:proofErr w:type="spellStart"/>
      <w:r>
        <w:rPr>
          <w:rFonts w:ascii="Times New Roman" w:hAnsi="Times New Roman"/>
          <w:b/>
          <w:sz w:val="24"/>
          <w:szCs w:val="24"/>
        </w:rPr>
        <w:t>B.Agric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(ABEOKUTA)</w:t>
      </w:r>
    </w:p>
    <w:p w:rsidR="000C3F6B" w:rsidRPr="00BA2CD9" w:rsidRDefault="000C3F6B" w:rsidP="000C3F6B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C3F6B" w:rsidRDefault="000C3F6B" w:rsidP="000C3F6B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 Dissertation submitted to the Department of Animal Production and Health,</w:t>
      </w:r>
    </w:p>
    <w:p w:rsidR="000C3F6B" w:rsidRDefault="000C3F6B" w:rsidP="000C3F6B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College of Animal Science and Livestock Production, Federal University of Agriculture, Abeokuta, in partial fulfillment of the requirement for the award of degree of </w:t>
      </w:r>
    </w:p>
    <w:p w:rsidR="000C3F6B" w:rsidRPr="00087B88" w:rsidRDefault="000C3F6B" w:rsidP="000C3F6B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Masters of Agriculture (</w:t>
      </w:r>
      <w:proofErr w:type="spellStart"/>
      <w:r>
        <w:rPr>
          <w:rFonts w:ascii="Times New Roman" w:hAnsi="Times New Roman"/>
          <w:b/>
          <w:sz w:val="24"/>
          <w:szCs w:val="24"/>
        </w:rPr>
        <w:t>M.Agric</w:t>
      </w:r>
      <w:proofErr w:type="spellEnd"/>
      <w:r>
        <w:rPr>
          <w:rFonts w:ascii="Times New Roman" w:hAnsi="Times New Roman"/>
          <w:b/>
          <w:sz w:val="24"/>
          <w:szCs w:val="24"/>
        </w:rPr>
        <w:t>.) in Non-Ruminant Production.</w:t>
      </w:r>
      <w:proofErr w:type="gramEnd"/>
    </w:p>
    <w:p w:rsidR="000C3F6B" w:rsidRDefault="000C3F6B" w:rsidP="000C3F6B">
      <w:pPr>
        <w:rPr>
          <w:lang w:val="en-GB"/>
        </w:rPr>
      </w:pPr>
    </w:p>
    <w:p w:rsidR="000C3F6B" w:rsidRDefault="000C3F6B" w:rsidP="000C3F6B">
      <w:pPr>
        <w:rPr>
          <w:lang w:val="en-GB"/>
        </w:rPr>
      </w:pPr>
    </w:p>
    <w:p w:rsidR="000C3F6B" w:rsidRPr="00087B88" w:rsidRDefault="000C3F6B" w:rsidP="000C3F6B">
      <w:pPr>
        <w:rPr>
          <w:lang w:val="en-GB"/>
        </w:rPr>
      </w:pPr>
    </w:p>
    <w:p w:rsidR="000C3F6B" w:rsidRDefault="000C3F6B" w:rsidP="000C3F6B">
      <w:pPr>
        <w:ind w:left="7200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>SEPTEMBER</w:t>
      </w:r>
      <w:r w:rsidRPr="00087B88">
        <w:rPr>
          <w:rFonts w:ascii="Times New Roman" w:hAnsi="Times New Roman"/>
          <w:b/>
          <w:sz w:val="24"/>
          <w:szCs w:val="24"/>
          <w:lang w:val="en-GB"/>
        </w:rPr>
        <w:t>, 2025</w:t>
      </w:r>
    </w:p>
    <w:p w:rsidR="000C3F6B" w:rsidRDefault="000C3F6B" w:rsidP="000C3F6B">
      <w:pPr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br w:type="page"/>
      </w:r>
    </w:p>
    <w:p w:rsidR="000C3F6B" w:rsidRDefault="000C3F6B" w:rsidP="000C3F6B">
      <w:pPr>
        <w:rPr>
          <w:rFonts w:ascii="Times New Roman" w:hAnsi="Times New Roman"/>
          <w:b/>
          <w:sz w:val="24"/>
          <w:szCs w:val="24"/>
          <w:lang w:val="en-GB"/>
        </w:rPr>
        <w:sectPr w:rsidR="000C3F6B" w:rsidSect="00DF1DB9">
          <w:footerReference w:type="default" r:id="rId4"/>
          <w:pgSz w:w="12240" w:h="15840"/>
          <w:pgMar w:top="1440" w:right="1440" w:bottom="1440" w:left="1440" w:header="720" w:footer="720" w:gutter="0"/>
          <w:pgNumType w:fmt="lowerRoman" w:start="1"/>
          <w:cols w:space="720"/>
          <w:titlePg/>
          <w:docGrid w:linePitch="360"/>
        </w:sectPr>
      </w:pPr>
    </w:p>
    <w:bookmarkEnd w:id="0"/>
    <w:p w:rsidR="000C3F6B" w:rsidRPr="000E4C81" w:rsidRDefault="000C3F6B" w:rsidP="000C3F6B">
      <w:pPr>
        <w:jc w:val="center"/>
        <w:rPr>
          <w:rFonts w:ascii="Times New Roman" w:hAnsi="Times New Roman"/>
          <w:b/>
          <w:sz w:val="24"/>
          <w:szCs w:val="24"/>
        </w:rPr>
      </w:pPr>
      <w:r w:rsidRPr="000E4C81">
        <w:rPr>
          <w:rFonts w:ascii="Times New Roman" w:hAnsi="Times New Roman"/>
          <w:b/>
          <w:sz w:val="24"/>
          <w:szCs w:val="24"/>
        </w:rPr>
        <w:lastRenderedPageBreak/>
        <w:t>ABSTRACT</w:t>
      </w:r>
    </w:p>
    <w:p w:rsidR="005F20C0" w:rsidRDefault="000C3F6B" w:rsidP="000C3F6B">
      <w:pPr>
        <w:pStyle w:val="NormalWeb"/>
        <w:spacing w:line="360" w:lineRule="auto"/>
        <w:jc w:val="both"/>
      </w:pPr>
      <w:r w:rsidRPr="00BA5BD0">
        <w:rPr>
          <w:i/>
        </w:rPr>
        <w:t xml:space="preserve">In </w:t>
      </w:r>
      <w:proofErr w:type="spellStart"/>
      <w:r w:rsidRPr="00BA5BD0">
        <w:rPr>
          <w:i/>
        </w:rPr>
        <w:t>ovo</w:t>
      </w:r>
      <w:r>
        <w:t>technique</w:t>
      </w:r>
      <w:proofErr w:type="spellEnd"/>
      <w:r>
        <w:t xml:space="preserve"> is an emerging tool in poultry production that enables the direct delivery of nutrients and bioactive compounds to the developing embryo, potentially improving post-hatch performance and physiological outcomes. This study investigated the effects of </w:t>
      </w:r>
      <w:r w:rsidRPr="00BA5BD0">
        <w:rPr>
          <w:i/>
        </w:rPr>
        <w:t xml:space="preserve">in </w:t>
      </w:r>
      <w:proofErr w:type="spellStart"/>
      <w:r w:rsidRPr="00BA5BD0">
        <w:rPr>
          <w:i/>
        </w:rPr>
        <w:t>ovo</w:t>
      </w:r>
      <w:proofErr w:type="spellEnd"/>
      <w:r>
        <w:t xml:space="preserve"> administration of vitamin B6 (pyridoxine) at different embryonic stages on hatchability, </w:t>
      </w:r>
      <w:proofErr w:type="spellStart"/>
      <w:r>
        <w:t>haematology</w:t>
      </w:r>
      <w:proofErr w:type="spellEnd"/>
      <w:r>
        <w:t>, gut development, and growth in guinea fowl (</w:t>
      </w:r>
      <w:proofErr w:type="spellStart"/>
      <w:r>
        <w:rPr>
          <w:rStyle w:val="Emphasis"/>
        </w:rPr>
        <w:t>Numida</w:t>
      </w:r>
      <w:proofErr w:type="spellEnd"/>
      <w:r>
        <w:rPr>
          <w:rStyle w:val="Emphasis"/>
        </w:rPr>
        <w:t xml:space="preserve"> </w:t>
      </w:r>
      <w:proofErr w:type="spellStart"/>
      <w:r>
        <w:rPr>
          <w:rStyle w:val="Emphasis"/>
        </w:rPr>
        <w:t>meleagris</w:t>
      </w:r>
      <w:proofErr w:type="spellEnd"/>
      <w:r>
        <w:t xml:space="preserve">). A total of 160 guinea fowl eggs were sourced from a reputable breeder, of which 152 were settable and incubated under standard conditions. On day 21 of incubation, fertility was assessed by candling, and 112 fertile eggs (73.68%) were identified and evenly distributed into four treatment groups (28 eggs per group): a non-injected control and three groups injected with 0.05 </w:t>
      </w:r>
      <w:proofErr w:type="spellStart"/>
      <w:r>
        <w:t>mL</w:t>
      </w:r>
      <w:proofErr w:type="spellEnd"/>
      <w:r>
        <w:t xml:space="preserve"> of pyridoxine solution (100 µg/</w:t>
      </w:r>
      <w:proofErr w:type="spellStart"/>
      <w:r>
        <w:t>mL</w:t>
      </w:r>
      <w:proofErr w:type="spellEnd"/>
      <w:r>
        <w:t xml:space="preserve">) into the amnion on embryonic days 21, 23, and 25, respectively. At hatch (day 28), 80 </w:t>
      </w:r>
      <w:proofErr w:type="spellStart"/>
      <w:r>
        <w:t>keets</w:t>
      </w:r>
      <w:proofErr w:type="spellEnd"/>
      <w:r>
        <w:t xml:space="preserve"> were allocated into replicates based on number of hatched </w:t>
      </w:r>
      <w:proofErr w:type="spellStart"/>
      <w:r>
        <w:t>keets</w:t>
      </w:r>
      <w:proofErr w:type="spellEnd"/>
      <w:r>
        <w:t xml:space="preserve"> per treatment, and a post-hatch study was conducted over a 10-week period. D</w:t>
      </w:r>
      <w:r w:rsidRPr="000E4C81">
        <w:t xml:space="preserve">ata collected </w:t>
      </w:r>
      <w:r>
        <w:t>were</w:t>
      </w:r>
      <w:r w:rsidRPr="000E4C81">
        <w:t xml:space="preserve"> subjected to Analysis of Variance in a Completely </w:t>
      </w:r>
      <w:proofErr w:type="spellStart"/>
      <w:r w:rsidRPr="000E4C81">
        <w:t>Randomised</w:t>
      </w:r>
      <w:proofErr w:type="spellEnd"/>
      <w:r w:rsidRPr="000E4C81">
        <w:t xml:space="preserve"> design, </w:t>
      </w:r>
      <w:r>
        <w:t xml:space="preserve">utilizing </w:t>
      </w:r>
      <w:r w:rsidRPr="000E4C81">
        <w:t>Minitab</w:t>
      </w:r>
      <w:r w:rsidRPr="000E4C81">
        <w:rPr>
          <w:vertAlign w:val="superscript"/>
        </w:rPr>
        <w:t>®</w:t>
      </w:r>
      <w:r w:rsidRPr="000E4C81">
        <w:t xml:space="preserve"> 21.4.1 (Minitab, 2023).</w:t>
      </w:r>
      <w:r>
        <w:t xml:space="preserve"> The results showed that hatchability was significantly (p &lt; 0.05) affected by the timing of injection; b</w:t>
      </w:r>
      <w:r w:rsidRPr="0024567A">
        <w:t xml:space="preserve">oth the control (93.30%) and day 25 group (85.71%) maintained significantly higher hatchability percentage compared to day 21 (57.14%) and day 23 (46.43%) groups. </w:t>
      </w:r>
      <w:r>
        <w:t xml:space="preserve">At 7 days old, </w:t>
      </w:r>
      <w:proofErr w:type="spellStart"/>
      <w:r>
        <w:t>monocyte</w:t>
      </w:r>
      <w:proofErr w:type="spellEnd"/>
      <w:r>
        <w:t xml:space="preserve"> of </w:t>
      </w:r>
      <w:proofErr w:type="spellStart"/>
      <w:r>
        <w:t>keets</w:t>
      </w:r>
      <w:proofErr w:type="spellEnd"/>
      <w:r>
        <w:t xml:space="preserve"> from eggs in day 21 group were significantly reduced, while at day 70 days old, red blood cell (RBC) counts were significantly higher in birds from the day 25 group.  </w:t>
      </w:r>
      <w:proofErr w:type="spellStart"/>
      <w:r>
        <w:t>Keets</w:t>
      </w:r>
      <w:proofErr w:type="spellEnd"/>
      <w:r>
        <w:t xml:space="preserve"> from eggs injected on day 21 exhibited the highest albumin-to-globulin (A/G) ratio and cholesterol levels, while significantly lower cholesterol concentrations were observed in those injected on days 23 and 25 relative to the control. Moreover, antioxidant enzymes activities specifically glutathione </w:t>
      </w:r>
      <w:proofErr w:type="spellStart"/>
      <w:r>
        <w:t>peroxidase</w:t>
      </w:r>
      <w:proofErr w:type="spellEnd"/>
      <w:r>
        <w:t xml:space="preserve"> (</w:t>
      </w:r>
      <w:proofErr w:type="spellStart"/>
      <w:r>
        <w:t>GPx</w:t>
      </w:r>
      <w:proofErr w:type="spellEnd"/>
      <w:r>
        <w:t xml:space="preserve">), superoxide dismutase (SOD) with </w:t>
      </w:r>
      <w:proofErr w:type="spellStart"/>
      <w:r>
        <w:t>catalase</w:t>
      </w:r>
      <w:proofErr w:type="spellEnd"/>
      <w:r>
        <w:t xml:space="preserve"> (CAT), and were highest in </w:t>
      </w:r>
      <w:proofErr w:type="spellStart"/>
      <w:r>
        <w:t>keets</w:t>
      </w:r>
      <w:proofErr w:type="spellEnd"/>
      <w:r>
        <w:t xml:space="preserve"> from eggs in day 23 group. Significantly higher liver and </w:t>
      </w:r>
      <w:proofErr w:type="spellStart"/>
      <w:r>
        <w:t>jejunal</w:t>
      </w:r>
      <w:proofErr w:type="spellEnd"/>
      <w:r>
        <w:t xml:space="preserve"> weights, was also observed in </w:t>
      </w:r>
      <w:proofErr w:type="spellStart"/>
      <w:r>
        <w:t>keets</w:t>
      </w:r>
      <w:proofErr w:type="spellEnd"/>
      <w:r>
        <w:t xml:space="preserve"> from eggs in day 25 group, whereas those from the day 21 group recorded the highest </w:t>
      </w:r>
      <w:proofErr w:type="spellStart"/>
      <w:r>
        <w:t>caecal</w:t>
      </w:r>
      <w:proofErr w:type="spellEnd"/>
      <w:r>
        <w:t xml:space="preserve"> weight. </w:t>
      </w:r>
      <w:r w:rsidRPr="0024567A">
        <w:t xml:space="preserve">In conclusion, administering vitamin B6 </w:t>
      </w:r>
      <w:r w:rsidRPr="00BA5BD0">
        <w:rPr>
          <w:i/>
        </w:rPr>
        <w:t xml:space="preserve">in </w:t>
      </w:r>
      <w:proofErr w:type="spellStart"/>
      <w:r w:rsidRPr="00BA5BD0">
        <w:rPr>
          <w:i/>
        </w:rPr>
        <w:t>ovo</w:t>
      </w:r>
      <w:proofErr w:type="spellEnd"/>
      <w:r w:rsidRPr="0024567A">
        <w:t xml:space="preserve"> on day 25 of embryonic development did not have adverse effect on hatchability percentage, while enhancing </w:t>
      </w:r>
      <w:proofErr w:type="spellStart"/>
      <w:r w:rsidRPr="0024567A">
        <w:t>haematological</w:t>
      </w:r>
      <w:proofErr w:type="spellEnd"/>
      <w:r w:rsidRPr="0024567A">
        <w:t xml:space="preserve"> in</w:t>
      </w:r>
      <w:r>
        <w:t xml:space="preserve">dices and early gut development. </w:t>
      </w:r>
      <w:r w:rsidRPr="0024567A">
        <w:t xml:space="preserve">Additionally, </w:t>
      </w:r>
      <w:r w:rsidRPr="00BA5BD0">
        <w:rPr>
          <w:i/>
        </w:rPr>
        <w:t xml:space="preserve">in </w:t>
      </w:r>
      <w:proofErr w:type="spellStart"/>
      <w:r w:rsidRPr="00BA5BD0">
        <w:rPr>
          <w:i/>
        </w:rPr>
        <w:t>ovo</w:t>
      </w:r>
      <w:r w:rsidRPr="0024567A">
        <w:t>injection</w:t>
      </w:r>
      <w:proofErr w:type="spellEnd"/>
      <w:r w:rsidRPr="0024567A">
        <w:t xml:space="preserve"> on day 23 </w:t>
      </w:r>
      <w:r>
        <w:t>is</w:t>
      </w:r>
      <w:r w:rsidRPr="0024567A">
        <w:t xml:space="preserve"> considered beneficial for improving </w:t>
      </w:r>
      <w:r>
        <w:t xml:space="preserve">serum cholesterol, </w:t>
      </w:r>
      <w:proofErr w:type="spellStart"/>
      <w:r>
        <w:t>antio</w:t>
      </w:r>
      <w:r w:rsidRPr="0024567A">
        <w:t>xida</w:t>
      </w:r>
      <w:r>
        <w:t>tion</w:t>
      </w:r>
      <w:proofErr w:type="spellEnd"/>
      <w:r w:rsidRPr="0024567A">
        <w:t xml:space="preserve"> and intestinal muscle structure in guinea fowl.</w:t>
      </w:r>
    </w:p>
    <w:sectPr w:rsidR="005F20C0" w:rsidSect="005F20C0">
      <w:footerReference w:type="first" r:id="rId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6343852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F1DB9" w:rsidRDefault="000C3F6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F1DB9" w:rsidRDefault="000C3F6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1DB9" w:rsidRDefault="000C3F6B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ii</w:t>
    </w:r>
    <w:r>
      <w:rPr>
        <w:noProof/>
      </w:rPr>
      <w:fldChar w:fldCharType="end"/>
    </w:r>
    <w:r>
      <w:rPr>
        <w:noProof/>
      </w:rPr>
    </w:r>
  </w:p>
  <w:p w:rsidR="00DF1DB9" w:rsidRDefault="000C3F6B">
    <w:pPr>
      <w:pStyle w:val="Footer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0C3F6B"/>
    <w:rsid w:val="000C3F6B"/>
    <w:rsid w:val="005F20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3F6B"/>
  </w:style>
  <w:style w:type="paragraph" w:styleId="Heading1">
    <w:name w:val="heading 1"/>
    <w:basedOn w:val="Normal"/>
    <w:next w:val="Normal"/>
    <w:link w:val="Heading1Char"/>
    <w:qFormat/>
    <w:rsid w:val="000C3F6B"/>
    <w:pPr>
      <w:keepNext/>
      <w:spacing w:before="360" w:after="180" w:line="360" w:lineRule="auto"/>
      <w:jc w:val="both"/>
      <w:outlineLvl w:val="0"/>
    </w:pPr>
    <w:rPr>
      <w:rFonts w:ascii="Times New Roman" w:eastAsia="SimSun" w:hAnsi="Times New Roman" w:cs="SimSun"/>
      <w:b/>
      <w:bCs/>
      <w:kern w:val="32"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C3F6B"/>
    <w:rPr>
      <w:rFonts w:ascii="Times New Roman" w:eastAsia="SimSun" w:hAnsi="Times New Roman" w:cs="SimSun"/>
      <w:b/>
      <w:bCs/>
      <w:kern w:val="32"/>
      <w:sz w:val="24"/>
      <w:szCs w:val="32"/>
    </w:rPr>
  </w:style>
  <w:style w:type="character" w:styleId="Emphasis">
    <w:name w:val="Emphasis"/>
    <w:basedOn w:val="DefaultParagraphFont"/>
    <w:uiPriority w:val="20"/>
    <w:qFormat/>
    <w:rsid w:val="000C3F6B"/>
    <w:rPr>
      <w:i/>
      <w:iCs/>
    </w:rPr>
  </w:style>
  <w:style w:type="paragraph" w:styleId="Footer">
    <w:name w:val="footer"/>
    <w:basedOn w:val="Normal"/>
    <w:link w:val="FooterChar"/>
    <w:uiPriority w:val="99"/>
    <w:unhideWhenUsed/>
    <w:rsid w:val="000C3F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3F6B"/>
  </w:style>
  <w:style w:type="paragraph" w:styleId="NormalWeb">
    <w:name w:val="Normal (Web)"/>
    <w:basedOn w:val="Normal"/>
    <w:uiPriority w:val="99"/>
    <w:unhideWhenUsed/>
    <w:rsid w:val="000C3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474</Words>
  <Characters>2704</Characters>
  <Application>Microsoft Office Word</Application>
  <DocSecurity>0</DocSecurity>
  <Lines>22</Lines>
  <Paragraphs>6</Paragraphs>
  <ScaleCrop>false</ScaleCrop>
  <Company/>
  <LinksUpToDate>false</LinksUpToDate>
  <CharactersWithSpaces>3172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2025-12-16T13:11:00Z</dcterms:created>
  <dcterms:modified xsi:type="dcterms:W3CDTF">2025-12-16T13:12:00Z</dcterms:modified>
</cp:coreProperties>
</file>