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2E52" w:rsidRPr="00633E48" w:rsidRDefault="00A02E52" w:rsidP="00A02E52">
      <w:pPr>
        <w:spacing w:after="0"/>
        <w:jc w:val="center"/>
        <w:rPr>
          <w:rFonts w:cs="Times New Roman"/>
          <w:b/>
          <w:bCs/>
          <w:szCs w:val="24"/>
        </w:rPr>
      </w:pPr>
      <w:r w:rsidRPr="00633E48">
        <w:rPr>
          <w:rFonts w:cs="Times New Roman"/>
          <w:b/>
          <w:bCs/>
          <w:szCs w:val="24"/>
        </w:rPr>
        <w:t>COMMUNITY AND PREDICTIVE FUNCTIONAL PROFILING OF HEAVY METAL TOLERANT BACTERIA IN SOIL FROM A BITUMEN PRODUCTION SITE</w:t>
      </w:r>
    </w:p>
    <w:p w:rsidR="00A02E52" w:rsidRPr="0077507F" w:rsidRDefault="00A02E52" w:rsidP="00A02E52">
      <w:pPr>
        <w:spacing w:before="240"/>
        <w:jc w:val="center"/>
        <w:rPr>
          <w:rFonts w:cs="Times New Roman"/>
          <w:b/>
          <w:bCs/>
          <w:sz w:val="32"/>
          <w:szCs w:val="32"/>
        </w:rPr>
      </w:pPr>
    </w:p>
    <w:p w:rsidR="00A02E52" w:rsidRPr="0077507F" w:rsidRDefault="00A02E52" w:rsidP="00A02E52">
      <w:pPr>
        <w:spacing w:before="240"/>
        <w:jc w:val="center"/>
        <w:rPr>
          <w:rFonts w:cs="Times New Roman"/>
          <w:b/>
          <w:bCs/>
          <w:szCs w:val="24"/>
        </w:rPr>
      </w:pPr>
      <w:r>
        <w:rPr>
          <w:rFonts w:cs="Times New Roman"/>
          <w:b/>
          <w:bCs/>
          <w:szCs w:val="24"/>
        </w:rPr>
        <w:t>BY</w:t>
      </w:r>
    </w:p>
    <w:p w:rsidR="00A02E52" w:rsidRPr="0077507F" w:rsidRDefault="00A02E52" w:rsidP="00A02E52">
      <w:pPr>
        <w:spacing w:before="240"/>
        <w:jc w:val="center"/>
        <w:rPr>
          <w:rFonts w:cs="Times New Roman"/>
          <w:b/>
          <w:bCs/>
          <w:szCs w:val="24"/>
        </w:rPr>
      </w:pPr>
    </w:p>
    <w:p w:rsidR="00A02E52" w:rsidRPr="0077507F" w:rsidRDefault="00A02E52" w:rsidP="00A02E52">
      <w:pPr>
        <w:spacing w:before="240"/>
        <w:jc w:val="center"/>
        <w:rPr>
          <w:rFonts w:cs="Times New Roman"/>
          <w:b/>
          <w:bCs/>
          <w:szCs w:val="24"/>
        </w:rPr>
      </w:pPr>
    </w:p>
    <w:p w:rsidR="00A02E52" w:rsidRPr="0077507F" w:rsidRDefault="00A02E52" w:rsidP="00A02E52">
      <w:pPr>
        <w:spacing w:before="240"/>
        <w:jc w:val="center"/>
        <w:rPr>
          <w:rFonts w:cs="Times New Roman"/>
          <w:b/>
          <w:bCs/>
          <w:sz w:val="28"/>
          <w:szCs w:val="28"/>
        </w:rPr>
      </w:pPr>
      <w:r w:rsidRPr="0077507F">
        <w:rPr>
          <w:rFonts w:cs="Times New Roman"/>
          <w:b/>
          <w:bCs/>
          <w:sz w:val="28"/>
          <w:szCs w:val="28"/>
        </w:rPr>
        <w:t xml:space="preserve">BANKOLE, Samuel </w:t>
      </w:r>
      <w:proofErr w:type="spellStart"/>
      <w:r w:rsidRPr="0077507F">
        <w:rPr>
          <w:rFonts w:cs="Times New Roman"/>
          <w:b/>
          <w:bCs/>
          <w:sz w:val="28"/>
          <w:szCs w:val="28"/>
        </w:rPr>
        <w:t>Opeyemi</w:t>
      </w:r>
      <w:proofErr w:type="spellEnd"/>
      <w:r w:rsidRPr="0077507F">
        <w:rPr>
          <w:rFonts w:cs="Times New Roman"/>
          <w:b/>
          <w:bCs/>
          <w:sz w:val="28"/>
          <w:szCs w:val="28"/>
        </w:rPr>
        <w:t xml:space="preserve"> (PG15/0359)</w:t>
      </w:r>
    </w:p>
    <w:p w:rsidR="00A02E52" w:rsidRPr="0077507F" w:rsidRDefault="00A02E52" w:rsidP="00A02E52">
      <w:pPr>
        <w:spacing w:before="240"/>
        <w:jc w:val="center"/>
        <w:rPr>
          <w:rFonts w:cs="Times New Roman"/>
          <w:b/>
          <w:bCs/>
          <w:szCs w:val="24"/>
        </w:rPr>
      </w:pPr>
      <w:r w:rsidRPr="0077507F">
        <w:rPr>
          <w:rFonts w:cs="Times New Roman"/>
          <w:b/>
          <w:bCs/>
          <w:szCs w:val="24"/>
        </w:rPr>
        <w:t>B.Sc., M.Sc. (OOU)</w:t>
      </w:r>
    </w:p>
    <w:p w:rsidR="00A02E52" w:rsidRPr="0077507F" w:rsidRDefault="00A02E52" w:rsidP="00A02E52">
      <w:pPr>
        <w:spacing w:before="240"/>
        <w:jc w:val="center"/>
        <w:rPr>
          <w:rFonts w:cs="Times New Roman"/>
          <w:b/>
          <w:bCs/>
          <w:szCs w:val="24"/>
        </w:rPr>
      </w:pPr>
    </w:p>
    <w:p w:rsidR="00A02E52" w:rsidRPr="0077507F" w:rsidRDefault="00A02E52" w:rsidP="00A02E52">
      <w:pPr>
        <w:spacing w:before="240"/>
        <w:jc w:val="center"/>
        <w:rPr>
          <w:rFonts w:cs="Times New Roman"/>
          <w:b/>
          <w:bCs/>
          <w:szCs w:val="24"/>
        </w:rPr>
      </w:pPr>
    </w:p>
    <w:p w:rsidR="00A02E52" w:rsidRPr="0077507F" w:rsidRDefault="00A02E52" w:rsidP="00A02E52">
      <w:pPr>
        <w:spacing w:before="240"/>
        <w:jc w:val="center"/>
        <w:rPr>
          <w:rFonts w:cs="Times New Roman"/>
          <w:b/>
          <w:bCs/>
          <w:szCs w:val="24"/>
        </w:rPr>
      </w:pPr>
    </w:p>
    <w:p w:rsidR="00A02E52" w:rsidRPr="0077507F" w:rsidRDefault="00A02E52" w:rsidP="00A02E52">
      <w:pPr>
        <w:spacing w:before="240"/>
        <w:jc w:val="center"/>
        <w:rPr>
          <w:rFonts w:cs="Times New Roman"/>
          <w:b/>
          <w:bCs/>
          <w:szCs w:val="24"/>
        </w:rPr>
      </w:pPr>
    </w:p>
    <w:p w:rsidR="00A02E52" w:rsidRPr="0077507F" w:rsidRDefault="00A02E52" w:rsidP="00A02E52">
      <w:pPr>
        <w:spacing w:line="240" w:lineRule="auto"/>
        <w:jc w:val="center"/>
        <w:rPr>
          <w:rFonts w:cs="Times New Roman"/>
          <w:b/>
          <w:szCs w:val="24"/>
        </w:rPr>
      </w:pPr>
      <w:r w:rsidRPr="0077507F">
        <w:rPr>
          <w:rFonts w:cs="Times New Roman"/>
          <w:b/>
          <w:szCs w:val="24"/>
        </w:rPr>
        <w:t xml:space="preserve">A Thesis submitted to </w:t>
      </w:r>
      <w:r>
        <w:rPr>
          <w:rFonts w:cs="Times New Roman"/>
          <w:b/>
          <w:szCs w:val="24"/>
        </w:rPr>
        <w:t xml:space="preserve">the Department of </w:t>
      </w:r>
      <w:r w:rsidRPr="0077507F">
        <w:rPr>
          <w:rFonts w:cs="Times New Roman"/>
          <w:b/>
          <w:szCs w:val="24"/>
        </w:rPr>
        <w:t>Microbiology, College of Biosciences, Federal University of Agriculture, Abeokuta, in partial fulfilment of the requirements for the award of degree of Doctor of Philosophy in Environmental Microbiology.</w:t>
      </w:r>
    </w:p>
    <w:p w:rsidR="00A02E52" w:rsidRPr="0077507F" w:rsidRDefault="00A02E52" w:rsidP="00A02E52">
      <w:pPr>
        <w:spacing w:before="240"/>
        <w:jc w:val="center"/>
        <w:rPr>
          <w:rFonts w:cs="Times New Roman"/>
          <w:b/>
          <w:bCs/>
          <w:szCs w:val="24"/>
        </w:rPr>
      </w:pPr>
    </w:p>
    <w:p w:rsidR="00A02E52" w:rsidRPr="0077507F" w:rsidRDefault="00A02E52" w:rsidP="00A02E52">
      <w:pPr>
        <w:spacing w:before="240"/>
        <w:jc w:val="center"/>
        <w:rPr>
          <w:rFonts w:cs="Times New Roman"/>
          <w:b/>
          <w:bCs/>
          <w:szCs w:val="24"/>
        </w:rPr>
        <w:sectPr w:rsidR="00A02E52" w:rsidRPr="0077507F" w:rsidSect="007F7190">
          <w:footerReference w:type="default" r:id="rId4"/>
          <w:pgSz w:w="11906" w:h="16838"/>
          <w:pgMar w:top="1440" w:right="1440" w:bottom="1440" w:left="1440" w:header="708" w:footer="708" w:gutter="0"/>
          <w:pgNumType w:fmt="lowerRoman"/>
          <w:cols w:space="708"/>
          <w:docGrid w:linePitch="360"/>
        </w:sectPr>
      </w:pPr>
      <w:r w:rsidRPr="0077507F">
        <w:rPr>
          <w:rFonts w:cs="Times New Roman"/>
          <w:b/>
          <w:bCs/>
          <w:szCs w:val="24"/>
        </w:rPr>
        <w:t>J</w:t>
      </w:r>
      <w:r>
        <w:rPr>
          <w:rFonts w:cs="Times New Roman"/>
          <w:b/>
          <w:bCs/>
          <w:szCs w:val="24"/>
        </w:rPr>
        <w:t>U</w:t>
      </w:r>
      <w:r w:rsidRPr="0077507F">
        <w:rPr>
          <w:rFonts w:cs="Times New Roman"/>
          <w:b/>
          <w:bCs/>
          <w:szCs w:val="24"/>
        </w:rPr>
        <w:t>LY, 2024</w:t>
      </w:r>
    </w:p>
    <w:p w:rsidR="00A02E52" w:rsidRPr="0077507F" w:rsidRDefault="00A02E52" w:rsidP="00A02E52">
      <w:pPr>
        <w:pStyle w:val="Heading1"/>
      </w:pPr>
      <w:bookmarkStart w:id="0" w:name="_Toc172281222"/>
      <w:r w:rsidRPr="0077507F">
        <w:lastRenderedPageBreak/>
        <w:t>ABSTRACT</w:t>
      </w:r>
      <w:bookmarkEnd w:id="0"/>
    </w:p>
    <w:p w:rsidR="00EE5748" w:rsidRPr="00A02E52" w:rsidRDefault="00A02E52" w:rsidP="00A02E52">
      <w:pPr>
        <w:spacing w:before="240"/>
        <w:rPr>
          <w:rFonts w:cs="Times New Roman"/>
          <w:szCs w:val="24"/>
        </w:rPr>
      </w:pPr>
      <w:r w:rsidRPr="002C5E42">
        <w:rPr>
          <w:rFonts w:cs="Times New Roman"/>
          <w:szCs w:val="24"/>
        </w:rPr>
        <w:t xml:space="preserve">Heavy Metal (HM) contamination in soil, particularly in areas surrounding bitumen production sites, poses significant environmental and health risks. Certain bacteria have developed mechanisms to tolerate and </w:t>
      </w:r>
      <w:proofErr w:type="spellStart"/>
      <w:r w:rsidRPr="002C5E42">
        <w:rPr>
          <w:rFonts w:cs="Times New Roman"/>
          <w:szCs w:val="24"/>
        </w:rPr>
        <w:t>bioaccumulate</w:t>
      </w:r>
      <w:proofErr w:type="spellEnd"/>
      <w:r w:rsidRPr="002C5E42">
        <w:rPr>
          <w:rFonts w:cs="Times New Roman"/>
          <w:szCs w:val="24"/>
        </w:rPr>
        <w:t xml:space="preserve"> HMs, offering potential bioremediation strategies but the specific mechanisms </w:t>
      </w:r>
      <w:proofErr w:type="gramStart"/>
      <w:r w:rsidRPr="002C5E42">
        <w:rPr>
          <w:rFonts w:cs="Times New Roman"/>
          <w:szCs w:val="24"/>
        </w:rPr>
        <w:t>remain</w:t>
      </w:r>
      <w:proofErr w:type="gramEnd"/>
      <w:r w:rsidRPr="002C5E42">
        <w:rPr>
          <w:rFonts w:cs="Times New Roman"/>
          <w:szCs w:val="24"/>
        </w:rPr>
        <w:t xml:space="preserve"> poorly understood. This study investigated community and predictive functional profiling of HM-tolerant bacteria in soils from a bitumen production site in </w:t>
      </w:r>
      <w:proofErr w:type="spellStart"/>
      <w:r w:rsidRPr="002C5E42">
        <w:rPr>
          <w:rFonts w:cs="Times New Roman"/>
          <w:szCs w:val="24"/>
        </w:rPr>
        <w:t>Agbagu</w:t>
      </w:r>
      <w:proofErr w:type="spellEnd"/>
      <w:r w:rsidRPr="002C5E42">
        <w:rPr>
          <w:rFonts w:cs="Times New Roman"/>
          <w:szCs w:val="24"/>
        </w:rPr>
        <w:t xml:space="preserve">, </w:t>
      </w:r>
      <w:proofErr w:type="spellStart"/>
      <w:r w:rsidRPr="002C5E42">
        <w:rPr>
          <w:rFonts w:cs="Times New Roman"/>
          <w:szCs w:val="24"/>
        </w:rPr>
        <w:t>Ondo</w:t>
      </w:r>
      <w:proofErr w:type="spellEnd"/>
      <w:r w:rsidRPr="002C5E42">
        <w:rPr>
          <w:rFonts w:cs="Times New Roman"/>
          <w:szCs w:val="24"/>
        </w:rPr>
        <w:t xml:space="preserve"> State, Nigeria. Three soil samples were collected from the surface to a depth of 15 cm, and physicochemical properties were determined using standard analytical methods. HM-tolerant bacteria were isolated from the soil samples using a standard protocol, the isolates were further assessed for their tolerance to varying concentrations (20, 40, 60 </w:t>
      </w:r>
      <w:proofErr w:type="spellStart"/>
      <w:r w:rsidRPr="002C5E42">
        <w:rPr>
          <w:rFonts w:cs="Times New Roman"/>
          <w:szCs w:val="24"/>
        </w:rPr>
        <w:t>μg</w:t>
      </w:r>
      <w:proofErr w:type="spellEnd"/>
      <w:r w:rsidRPr="002C5E42">
        <w:rPr>
          <w:rFonts w:cs="Times New Roman"/>
          <w:szCs w:val="24"/>
        </w:rPr>
        <w:t xml:space="preserve">/ml) of </w:t>
      </w:r>
      <w:proofErr w:type="spellStart"/>
      <w:r w:rsidRPr="002C5E42">
        <w:rPr>
          <w:rFonts w:cs="Times New Roman"/>
          <w:szCs w:val="24"/>
        </w:rPr>
        <w:t>Pb</w:t>
      </w:r>
      <w:proofErr w:type="spellEnd"/>
      <w:r w:rsidRPr="002C5E42">
        <w:rPr>
          <w:rFonts w:cs="Times New Roman"/>
          <w:szCs w:val="24"/>
        </w:rPr>
        <w:t xml:space="preserve">, </w:t>
      </w:r>
      <w:proofErr w:type="spellStart"/>
      <w:r w:rsidRPr="002C5E42">
        <w:rPr>
          <w:rFonts w:cs="Times New Roman"/>
          <w:szCs w:val="24"/>
        </w:rPr>
        <w:t>Cd</w:t>
      </w:r>
      <w:proofErr w:type="spellEnd"/>
      <w:r w:rsidRPr="002C5E42">
        <w:rPr>
          <w:rFonts w:cs="Times New Roman"/>
          <w:szCs w:val="24"/>
        </w:rPr>
        <w:t xml:space="preserve">, Cr, Cu, Zn while growth were monitored daily for 3 days using </w:t>
      </w:r>
      <w:proofErr w:type="spellStart"/>
      <w:r w:rsidRPr="002C5E42">
        <w:rPr>
          <w:rFonts w:cs="Times New Roman"/>
          <w:szCs w:val="24"/>
        </w:rPr>
        <w:t>spectrophotometry</w:t>
      </w:r>
      <w:proofErr w:type="spellEnd"/>
      <w:r w:rsidRPr="002C5E42">
        <w:rPr>
          <w:rFonts w:cs="Times New Roman"/>
          <w:szCs w:val="24"/>
        </w:rPr>
        <w:t xml:space="preserve"> at 630 nm. Minimum Inhibitory Concentration </w:t>
      </w:r>
      <w:proofErr w:type="gramStart"/>
      <w:r w:rsidRPr="002C5E42">
        <w:rPr>
          <w:rFonts w:cs="Times New Roman"/>
          <w:szCs w:val="24"/>
        </w:rPr>
        <w:t>were</w:t>
      </w:r>
      <w:proofErr w:type="gramEnd"/>
      <w:r w:rsidRPr="002C5E42">
        <w:rPr>
          <w:rFonts w:cs="Times New Roman"/>
          <w:szCs w:val="24"/>
        </w:rPr>
        <w:t xml:space="preserve"> determined for each metal. Biochemical identification of selected isolates was done using standard biochemical tests. </w:t>
      </w:r>
      <w:proofErr w:type="spellStart"/>
      <w:r w:rsidRPr="002C5E42">
        <w:rPr>
          <w:rFonts w:cs="Times New Roman"/>
          <w:szCs w:val="24"/>
        </w:rPr>
        <w:t>Metagenomics</w:t>
      </w:r>
      <w:proofErr w:type="spellEnd"/>
      <w:r w:rsidRPr="002C5E42">
        <w:rPr>
          <w:rFonts w:cs="Times New Roman"/>
          <w:szCs w:val="24"/>
        </w:rPr>
        <w:t xml:space="preserve"> and predictive functional profiling of heavy metal tolerant bacteria in the three soil samples were done. </w:t>
      </w:r>
      <w:proofErr w:type="gramStart"/>
      <w:r w:rsidRPr="002C5E42">
        <w:rPr>
          <w:rFonts w:cs="Times New Roman"/>
          <w:szCs w:val="24"/>
        </w:rPr>
        <w:t>Bacteria DNA was</w:t>
      </w:r>
      <w:proofErr w:type="gramEnd"/>
      <w:r w:rsidRPr="002C5E42">
        <w:rPr>
          <w:rFonts w:cs="Times New Roman"/>
          <w:szCs w:val="24"/>
        </w:rPr>
        <w:t xml:space="preserve"> extracted using a commercial bacterial extraction kit. Full-length </w:t>
      </w:r>
      <w:proofErr w:type="spellStart"/>
      <w:r w:rsidRPr="002C5E42">
        <w:rPr>
          <w:rFonts w:cs="Times New Roman"/>
          <w:szCs w:val="24"/>
        </w:rPr>
        <w:t>hypervariable</w:t>
      </w:r>
      <w:proofErr w:type="spellEnd"/>
      <w:r w:rsidRPr="002C5E42">
        <w:rPr>
          <w:rFonts w:cs="Times New Roman"/>
          <w:szCs w:val="24"/>
        </w:rPr>
        <w:t xml:space="preserve"> region of the 16S </w:t>
      </w:r>
      <w:proofErr w:type="spellStart"/>
      <w:r w:rsidRPr="002C5E42">
        <w:rPr>
          <w:rFonts w:cs="Times New Roman"/>
          <w:szCs w:val="24"/>
        </w:rPr>
        <w:t>rRNA</w:t>
      </w:r>
      <w:proofErr w:type="spellEnd"/>
      <w:r w:rsidRPr="002C5E42">
        <w:rPr>
          <w:rFonts w:cs="Times New Roman"/>
          <w:szCs w:val="24"/>
        </w:rPr>
        <w:t xml:space="preserve"> amplification gene from the isolates’ genomic DNA was amplified and sequenced using NGS. Sequences showing 97% similarity were grouped into identical Operational Taxonomic Units (OTUs). The Shannon and Simpson diversity α-diversity indices were obtained. Evolutionary history was inferred using </w:t>
      </w:r>
      <w:proofErr w:type="spellStart"/>
      <w:r w:rsidRPr="002C5E42">
        <w:rPr>
          <w:rFonts w:cs="Times New Roman"/>
          <w:szCs w:val="24"/>
        </w:rPr>
        <w:t>unweighted</w:t>
      </w:r>
      <w:proofErr w:type="spellEnd"/>
      <w:r w:rsidRPr="002C5E42">
        <w:rPr>
          <w:rFonts w:cs="Times New Roman"/>
          <w:szCs w:val="24"/>
        </w:rPr>
        <w:t xml:space="preserve"> pair-group method with arithmetic mean method. Functionalities of all OTUs were forecasted using Kyoto Encyclopaedia of Genes and Genomes databases. Five bacterial isolates (out of a total of eighteen isolates) exhibiting tolerance to varying concentrations of the HMs were identified as: </w:t>
      </w:r>
      <w:r w:rsidRPr="002C5E42">
        <w:rPr>
          <w:rFonts w:cs="Times New Roman"/>
          <w:i/>
          <w:iCs/>
          <w:szCs w:val="24"/>
        </w:rPr>
        <w:lastRenderedPageBreak/>
        <w:t>Micrococcus sp.</w:t>
      </w:r>
      <w:r w:rsidRPr="002C5E42">
        <w:rPr>
          <w:rFonts w:cs="Times New Roman"/>
          <w:szCs w:val="24"/>
        </w:rPr>
        <w:t xml:space="preserve">, </w:t>
      </w:r>
      <w:r w:rsidRPr="002C5E42">
        <w:rPr>
          <w:rFonts w:cs="Times New Roman"/>
          <w:i/>
          <w:iCs/>
          <w:szCs w:val="24"/>
        </w:rPr>
        <w:t>Pseudomonas sp.</w:t>
      </w:r>
      <w:r w:rsidRPr="002C5E42">
        <w:rPr>
          <w:rFonts w:cs="Times New Roman"/>
          <w:szCs w:val="24"/>
        </w:rPr>
        <w:t xml:space="preserve">, </w:t>
      </w:r>
      <w:r w:rsidRPr="002C5E42">
        <w:rPr>
          <w:rFonts w:cs="Times New Roman"/>
          <w:i/>
          <w:iCs/>
          <w:szCs w:val="24"/>
        </w:rPr>
        <w:t>Pseudomonas fluorescence</w:t>
      </w:r>
      <w:r w:rsidRPr="002C5E42">
        <w:rPr>
          <w:rFonts w:cs="Times New Roman"/>
          <w:szCs w:val="24"/>
        </w:rPr>
        <w:t xml:space="preserve">, </w:t>
      </w:r>
      <w:r w:rsidRPr="002C5E42">
        <w:rPr>
          <w:rFonts w:cs="Times New Roman"/>
          <w:i/>
          <w:iCs/>
          <w:szCs w:val="24"/>
        </w:rPr>
        <w:t xml:space="preserve">Bacillus sp., </w:t>
      </w:r>
      <w:r w:rsidRPr="002C5E42">
        <w:rPr>
          <w:rFonts w:cs="Times New Roman"/>
          <w:szCs w:val="24"/>
        </w:rPr>
        <w:t xml:space="preserve">and </w:t>
      </w:r>
      <w:proofErr w:type="spellStart"/>
      <w:r w:rsidRPr="002C5E42">
        <w:rPr>
          <w:rFonts w:cs="Times New Roman"/>
          <w:i/>
          <w:iCs/>
          <w:szCs w:val="24"/>
        </w:rPr>
        <w:t>Alcaligens</w:t>
      </w:r>
      <w:proofErr w:type="spellEnd"/>
      <w:r w:rsidRPr="002C5E42">
        <w:rPr>
          <w:rFonts w:cs="Times New Roman"/>
          <w:i/>
          <w:iCs/>
          <w:szCs w:val="24"/>
        </w:rPr>
        <w:t xml:space="preserve"> sp</w:t>
      </w:r>
      <w:r w:rsidRPr="002C5E42">
        <w:rPr>
          <w:rFonts w:cs="Times New Roman"/>
          <w:szCs w:val="24"/>
        </w:rPr>
        <w:t xml:space="preserve">. The isolates showed varying tolerance to HMs in a dose-dependent manner over time. From the </w:t>
      </w:r>
      <w:proofErr w:type="spellStart"/>
      <w:r w:rsidRPr="002C5E42">
        <w:rPr>
          <w:rFonts w:cs="Times New Roman"/>
          <w:szCs w:val="24"/>
        </w:rPr>
        <w:t>metagenomics</w:t>
      </w:r>
      <w:proofErr w:type="spellEnd"/>
      <w:r w:rsidRPr="002C5E42">
        <w:rPr>
          <w:rFonts w:cs="Times New Roman"/>
          <w:szCs w:val="24"/>
        </w:rPr>
        <w:t>, the OTUs of HM-tolerant soil bacteria were classified into 3 phyla, 5 classes, 6 orders, 9 families and 10 genera. Alpha diversity indices of 0.17, 0.61 and 0.18 (Shannon) and 0.06, 0.30 and 0.07 (Simpson) were obtained for the three samples respectively indicating less species diversity in samples (</w:t>
      </w:r>
      <w:proofErr w:type="spellStart"/>
      <w:r w:rsidRPr="002C5E42">
        <w:rPr>
          <w:rFonts w:cs="Times New Roman"/>
          <w:szCs w:val="24"/>
        </w:rPr>
        <w:t>i</w:t>
      </w:r>
      <w:proofErr w:type="spellEnd"/>
      <w:r w:rsidRPr="002C5E42">
        <w:rPr>
          <w:rFonts w:cs="Times New Roman"/>
          <w:szCs w:val="24"/>
        </w:rPr>
        <w:t xml:space="preserve">) and (iii). The main HM-tolerant bacteria genera identified in the soil were species of </w:t>
      </w:r>
      <w:r w:rsidRPr="002C5E42">
        <w:rPr>
          <w:rFonts w:cs="Times New Roman"/>
          <w:i/>
          <w:iCs/>
          <w:szCs w:val="24"/>
        </w:rPr>
        <w:t xml:space="preserve">Bacillus, </w:t>
      </w:r>
      <w:proofErr w:type="spellStart"/>
      <w:r w:rsidRPr="002C5E42">
        <w:rPr>
          <w:rFonts w:cs="Times New Roman"/>
          <w:i/>
          <w:iCs/>
          <w:szCs w:val="24"/>
        </w:rPr>
        <w:t>Comamonas</w:t>
      </w:r>
      <w:proofErr w:type="spellEnd"/>
      <w:r w:rsidRPr="002C5E42">
        <w:rPr>
          <w:rFonts w:cs="Times New Roman"/>
          <w:i/>
          <w:iCs/>
          <w:szCs w:val="24"/>
        </w:rPr>
        <w:t xml:space="preserve">, Pseudomonas, </w:t>
      </w:r>
      <w:proofErr w:type="spellStart"/>
      <w:r w:rsidRPr="002C5E42">
        <w:rPr>
          <w:rFonts w:cs="Times New Roman"/>
          <w:i/>
          <w:iCs/>
          <w:szCs w:val="24"/>
        </w:rPr>
        <w:t>Providencia</w:t>
      </w:r>
      <w:proofErr w:type="spellEnd"/>
      <w:r w:rsidRPr="002C5E42">
        <w:rPr>
          <w:rFonts w:cs="Times New Roman"/>
          <w:i/>
          <w:iCs/>
          <w:szCs w:val="24"/>
        </w:rPr>
        <w:t xml:space="preserve">, </w:t>
      </w:r>
      <w:proofErr w:type="spellStart"/>
      <w:r w:rsidRPr="002C5E42">
        <w:rPr>
          <w:rFonts w:cs="Times New Roman"/>
          <w:i/>
          <w:iCs/>
          <w:szCs w:val="24"/>
        </w:rPr>
        <w:t>Brevibacillu</w:t>
      </w:r>
      <w:r w:rsidRPr="002C5E42">
        <w:rPr>
          <w:rFonts w:cs="Times New Roman"/>
          <w:szCs w:val="24"/>
        </w:rPr>
        <w:t>s</w:t>
      </w:r>
      <w:proofErr w:type="spellEnd"/>
      <w:r w:rsidRPr="002C5E42">
        <w:rPr>
          <w:rFonts w:cs="Times New Roman"/>
          <w:szCs w:val="24"/>
        </w:rPr>
        <w:t xml:space="preserve"> and </w:t>
      </w:r>
      <w:proofErr w:type="spellStart"/>
      <w:r w:rsidRPr="002C5E42">
        <w:rPr>
          <w:rFonts w:cs="Times New Roman"/>
          <w:i/>
          <w:iCs/>
          <w:szCs w:val="24"/>
        </w:rPr>
        <w:t>Lysinbacillus</w:t>
      </w:r>
      <w:proofErr w:type="spellEnd"/>
      <w:r w:rsidRPr="002C5E42">
        <w:rPr>
          <w:rFonts w:cs="Times New Roman"/>
          <w:szCs w:val="24"/>
        </w:rPr>
        <w:t xml:space="preserve">. The </w:t>
      </w:r>
      <w:proofErr w:type="spellStart"/>
      <w:r w:rsidRPr="002C5E42">
        <w:rPr>
          <w:rFonts w:cs="Times New Roman"/>
          <w:szCs w:val="24"/>
        </w:rPr>
        <w:t>phylogenetic</w:t>
      </w:r>
      <w:proofErr w:type="spellEnd"/>
      <w:r w:rsidRPr="002C5E42">
        <w:rPr>
          <w:rFonts w:cs="Times New Roman"/>
          <w:szCs w:val="24"/>
        </w:rPr>
        <w:t xml:space="preserve"> tree delineated the HM-tolerant bacteria into three related clusters. Predictive functional profile of the gene expression showed varying metabolic pathways to cope with HM stress. Aerobic respiration pathway (PWY-3781), beta fatty acid oxidation, toluene degradation (PWY-5180), and coenzyme Q (PWY-5856) synthesis were more expressed in the bacteria in sample (ii) while the super pathway of (R, R)-</w:t>
      </w:r>
      <w:proofErr w:type="spellStart"/>
      <w:r w:rsidRPr="002C5E42">
        <w:rPr>
          <w:rFonts w:cs="Times New Roman"/>
          <w:szCs w:val="24"/>
        </w:rPr>
        <w:t>butanediol</w:t>
      </w:r>
      <w:proofErr w:type="spellEnd"/>
      <w:r w:rsidRPr="002C5E42">
        <w:rPr>
          <w:rFonts w:cs="Times New Roman"/>
          <w:szCs w:val="24"/>
        </w:rPr>
        <w:t xml:space="preserve"> biosynthesis (P125-PWY), butyrate-producing pathway (PWY-5022), D-</w:t>
      </w:r>
      <w:proofErr w:type="spellStart"/>
      <w:r w:rsidRPr="002C5E42">
        <w:rPr>
          <w:rFonts w:cs="Times New Roman"/>
          <w:szCs w:val="24"/>
        </w:rPr>
        <w:t>galactose</w:t>
      </w:r>
      <w:proofErr w:type="spellEnd"/>
      <w:r w:rsidRPr="002C5E42">
        <w:rPr>
          <w:rFonts w:cs="Times New Roman"/>
          <w:szCs w:val="24"/>
        </w:rPr>
        <w:t xml:space="preserve"> degradation pathway (PWY-6317) were more expressed in sample (</w:t>
      </w:r>
      <w:proofErr w:type="spellStart"/>
      <w:r w:rsidRPr="002C5E42">
        <w:rPr>
          <w:rFonts w:cs="Times New Roman"/>
          <w:szCs w:val="24"/>
        </w:rPr>
        <w:t>i</w:t>
      </w:r>
      <w:proofErr w:type="spellEnd"/>
      <w:r w:rsidRPr="002C5E42">
        <w:rPr>
          <w:rFonts w:cs="Times New Roman"/>
          <w:szCs w:val="24"/>
        </w:rPr>
        <w:t>); however, fatty acid salvage (PWY- 7094) and TCA cycle acetate producer were more expressed in sample (iii). The identified bacteria and their associated metabolic pathways provide valuable insights into the mechanisms of heavy metal tolerance and bioaccumulation, contributing to the development of effective bioremediation strategies.</w:t>
      </w:r>
    </w:p>
    <w:sectPr w:rsidR="00EE5748" w:rsidRPr="00A02E52" w:rsidSect="00EE574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815989"/>
      <w:docPartObj>
        <w:docPartGallery w:val="Page Numbers (Bottom of Page)"/>
        <w:docPartUnique/>
      </w:docPartObj>
    </w:sdtPr>
    <w:sdtEndPr>
      <w:rPr>
        <w:noProof/>
      </w:rPr>
    </w:sdtEndPr>
    <w:sdtContent>
      <w:p w:rsidR="00962252" w:rsidRDefault="00A02E52">
        <w:pPr>
          <w:pStyle w:val="Footer"/>
          <w:jc w:val="center"/>
        </w:pPr>
      </w:p>
    </w:sdtContent>
  </w:sdt>
  <w:p w:rsidR="00962252" w:rsidRDefault="00A02E52">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characterSpacingControl w:val="doNotCompress"/>
  <w:compat/>
  <w:rsids>
    <w:rsidRoot w:val="00A02E52"/>
    <w:rsid w:val="00A02E52"/>
    <w:rsid w:val="00EE574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2E52"/>
    <w:pPr>
      <w:spacing w:after="100" w:afterAutospacing="1" w:line="480" w:lineRule="auto"/>
      <w:jc w:val="both"/>
    </w:pPr>
    <w:rPr>
      <w:rFonts w:ascii="Times New Roman" w:hAnsi="Times New Roman"/>
      <w:kern w:val="2"/>
      <w:sz w:val="24"/>
      <w:lang w:val="en-GB"/>
    </w:rPr>
  </w:style>
  <w:style w:type="paragraph" w:styleId="Heading1">
    <w:name w:val="heading 1"/>
    <w:basedOn w:val="Normal"/>
    <w:next w:val="Normal"/>
    <w:link w:val="Heading1Char"/>
    <w:autoRedefine/>
    <w:uiPriority w:val="9"/>
    <w:qFormat/>
    <w:rsid w:val="00A02E52"/>
    <w:pPr>
      <w:keepNext/>
      <w:keepLines/>
      <w:jc w:val="center"/>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02E52"/>
    <w:rPr>
      <w:rFonts w:ascii="Times New Roman" w:eastAsiaTheme="majorEastAsia" w:hAnsi="Times New Roman" w:cstheme="majorBidi"/>
      <w:b/>
      <w:kern w:val="2"/>
      <w:sz w:val="24"/>
      <w:szCs w:val="32"/>
      <w:lang w:val="en-GB"/>
    </w:rPr>
  </w:style>
  <w:style w:type="paragraph" w:styleId="Footer">
    <w:name w:val="footer"/>
    <w:basedOn w:val="Normal"/>
    <w:link w:val="FooterChar"/>
    <w:uiPriority w:val="99"/>
    <w:unhideWhenUsed/>
    <w:rsid w:val="00A02E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02E52"/>
    <w:rPr>
      <w:rFonts w:ascii="Times New Roman" w:hAnsi="Times New Roman"/>
      <w:kern w:val="2"/>
      <w:sz w:val="24"/>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589</Words>
  <Characters>3360</Characters>
  <Application>Microsoft Office Word</Application>
  <DocSecurity>0</DocSecurity>
  <Lines>28</Lines>
  <Paragraphs>7</Paragraphs>
  <ScaleCrop>false</ScaleCrop>
  <Company/>
  <LinksUpToDate>false</LinksUpToDate>
  <CharactersWithSpaces>3942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2025-12-02T13:12:00Z</dcterms:created>
  <dcterms:modified xsi:type="dcterms:W3CDTF">2025-12-02T13:13:00Z</dcterms:modified>
</cp:coreProperties>
</file>