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2D00" w:rsidRPr="00B0161D" w:rsidRDefault="00FF2D00" w:rsidP="00FF2D00">
      <w:pPr>
        <w:spacing w:after="0" w:line="48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B0161D"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  <w:t>IN OVO</w:t>
      </w:r>
      <w:r w:rsidRPr="00B0161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AND TEMPERATURE DEPENDENT SEX REVERSAL TECHNIQUE IN CHICKENS</w:t>
      </w:r>
    </w:p>
    <w:p w:rsidR="00FF2D00" w:rsidRDefault="00FF2D00" w:rsidP="00FF2D00">
      <w:pPr>
        <w:spacing w:before="240" w:after="0"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F2D00" w:rsidRPr="00CB22D9" w:rsidRDefault="00FF2D00" w:rsidP="00FF2D00">
      <w:pPr>
        <w:spacing w:before="240" w:after="0"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F2D00" w:rsidRPr="00CB22D9" w:rsidRDefault="00FF2D00" w:rsidP="00FF2D00">
      <w:pPr>
        <w:spacing w:before="240" w:after="0"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B22D9">
        <w:rPr>
          <w:rFonts w:ascii="Times New Roman" w:hAnsi="Times New Roman" w:cs="Times New Roman"/>
          <w:b/>
          <w:sz w:val="24"/>
          <w:szCs w:val="24"/>
        </w:rPr>
        <w:t>BY</w:t>
      </w:r>
    </w:p>
    <w:p w:rsidR="00FF2D00" w:rsidRDefault="00FF2D00" w:rsidP="00FF2D00">
      <w:pPr>
        <w:spacing w:before="240" w:after="0"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F2D00" w:rsidRPr="00CB22D9" w:rsidRDefault="00FF2D00" w:rsidP="00FF2D00">
      <w:pPr>
        <w:spacing w:before="240" w:after="0"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F2D00" w:rsidRPr="00B0161D" w:rsidRDefault="00FF2D00" w:rsidP="00FF2D00">
      <w:pPr>
        <w:spacing w:after="0" w:line="48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B0161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DAINI OLUWADEMILADE EMMANUEL</w:t>
      </w:r>
    </w:p>
    <w:p w:rsidR="00FF2D00" w:rsidRPr="00B0161D" w:rsidRDefault="00FF2D00" w:rsidP="00FF2D00">
      <w:pPr>
        <w:spacing w:after="0" w:line="48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proofErr w:type="spellStart"/>
      <w:r w:rsidRPr="00B0161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B.Agric</w:t>
      </w:r>
      <w:proofErr w:type="spellEnd"/>
      <w:r w:rsidRPr="00B0161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, </w:t>
      </w:r>
      <w:proofErr w:type="spellStart"/>
      <w:r w:rsidRPr="00B0161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M.Agric</w:t>
      </w:r>
      <w:proofErr w:type="spellEnd"/>
      <w:r w:rsidRPr="00B0161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(FUNAAB)</w:t>
      </w:r>
    </w:p>
    <w:p w:rsidR="00FF2D00" w:rsidRPr="00B0161D" w:rsidRDefault="00FF2D00" w:rsidP="00FF2D00">
      <w:pPr>
        <w:tabs>
          <w:tab w:val="left" w:pos="5316"/>
        </w:tabs>
        <w:spacing w:after="0" w:line="48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B0161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MATRIC NO: PG 17/0105</w:t>
      </w:r>
    </w:p>
    <w:p w:rsidR="00FF2D00" w:rsidRPr="00CB22D9" w:rsidRDefault="00FF2D00" w:rsidP="00FF2D00">
      <w:pPr>
        <w:spacing w:before="240" w:after="0"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F2D00" w:rsidRDefault="00FF2D00" w:rsidP="00FF2D00">
      <w:pPr>
        <w:spacing w:before="240" w:after="0"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F2D00" w:rsidRDefault="00FF2D00" w:rsidP="00FF2D00">
      <w:pPr>
        <w:spacing w:before="240" w:after="0"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F2D00" w:rsidRPr="007D74E9" w:rsidRDefault="00FF2D00" w:rsidP="00FF2D00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D74E9">
        <w:rPr>
          <w:rFonts w:ascii="Times New Roman" w:hAnsi="Times New Roman" w:cs="Times New Roman"/>
          <w:b/>
          <w:sz w:val="24"/>
          <w:szCs w:val="24"/>
        </w:rPr>
        <w:t xml:space="preserve">A </w:t>
      </w:r>
      <w:r>
        <w:rPr>
          <w:rFonts w:ascii="Times New Roman" w:hAnsi="Times New Roman" w:cs="Times New Roman"/>
          <w:b/>
          <w:sz w:val="24"/>
          <w:szCs w:val="24"/>
        </w:rPr>
        <w:t>Thesis</w:t>
      </w:r>
      <w:r w:rsidRPr="007D74E9">
        <w:rPr>
          <w:rFonts w:ascii="Times New Roman" w:hAnsi="Times New Roman" w:cs="Times New Roman"/>
          <w:b/>
          <w:sz w:val="24"/>
          <w:szCs w:val="24"/>
        </w:rPr>
        <w:t xml:space="preserve"> submitted to the Department of Animal Production and Health, College </w:t>
      </w:r>
      <w:proofErr w:type="spellStart"/>
      <w:r w:rsidRPr="007D74E9">
        <w:rPr>
          <w:rFonts w:ascii="Times New Roman" w:hAnsi="Times New Roman" w:cs="Times New Roman"/>
          <w:b/>
          <w:sz w:val="24"/>
          <w:szCs w:val="24"/>
        </w:rPr>
        <w:t>ofAnimal</w:t>
      </w:r>
      <w:proofErr w:type="spellEnd"/>
      <w:r w:rsidRPr="007D74E9">
        <w:rPr>
          <w:rFonts w:ascii="Times New Roman" w:hAnsi="Times New Roman" w:cs="Times New Roman"/>
          <w:b/>
          <w:sz w:val="24"/>
          <w:szCs w:val="24"/>
        </w:rPr>
        <w:t xml:space="preserve"> Science and Livestock Production, Federal University of Agriculture, Abeokuta in partial fulfilment of the requirements for the award of Doctor of Philosophy</w:t>
      </w:r>
      <w:r>
        <w:rPr>
          <w:rFonts w:ascii="Times New Roman" w:hAnsi="Times New Roman" w:cs="Times New Roman"/>
          <w:b/>
          <w:sz w:val="24"/>
          <w:szCs w:val="24"/>
        </w:rPr>
        <w:t xml:space="preserve"> (Ph.D.)in Non-Ruminant </w:t>
      </w:r>
      <w:r w:rsidRPr="007D74E9">
        <w:rPr>
          <w:rFonts w:ascii="Times New Roman" w:hAnsi="Times New Roman" w:cs="Times New Roman"/>
          <w:b/>
          <w:sz w:val="24"/>
          <w:szCs w:val="24"/>
        </w:rPr>
        <w:t>Production</w:t>
      </w:r>
    </w:p>
    <w:p w:rsidR="00FF2D00" w:rsidRPr="00CB22D9" w:rsidRDefault="00FF2D00" w:rsidP="00FF2D00">
      <w:pPr>
        <w:spacing w:before="240"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F2D00" w:rsidRPr="00CB22D9" w:rsidRDefault="00FF2D00" w:rsidP="00FF2D00">
      <w:pPr>
        <w:spacing w:before="240"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F2D00" w:rsidRDefault="00FF2D00" w:rsidP="00FF2D00">
      <w:pPr>
        <w:spacing w:before="240"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F2D00" w:rsidRPr="00CB22D9" w:rsidRDefault="00FF2D00" w:rsidP="00FF2D00">
      <w:pPr>
        <w:spacing w:before="240"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DECEMBER</w:t>
      </w:r>
      <w:r w:rsidRPr="00CB22D9">
        <w:rPr>
          <w:rFonts w:ascii="Times New Roman" w:hAnsi="Times New Roman" w:cs="Times New Roman"/>
          <w:b/>
          <w:sz w:val="24"/>
          <w:szCs w:val="24"/>
        </w:rPr>
        <w:t>, 2024</w:t>
      </w:r>
    </w:p>
    <w:p w:rsidR="00FF2D00" w:rsidRPr="009F2ECA" w:rsidRDefault="00FF2D00" w:rsidP="00FF2D00">
      <w:pPr>
        <w:spacing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Toc484686185"/>
      <w:bookmarkStart w:id="1" w:name="_Toc484686930"/>
      <w:bookmarkStart w:id="2" w:name="_Toc484687431"/>
      <w:bookmarkStart w:id="3" w:name="_Toc495583712"/>
      <w:bookmarkStart w:id="4" w:name="_Toc516680492"/>
      <w:bookmarkStart w:id="5" w:name="_Toc162105516"/>
      <w:r w:rsidRPr="009F2ECA">
        <w:rPr>
          <w:rFonts w:ascii="Times New Roman" w:hAnsi="Times New Roman" w:cs="Times New Roman"/>
          <w:b/>
          <w:bCs/>
          <w:sz w:val="24"/>
          <w:szCs w:val="24"/>
        </w:rPr>
        <w:lastRenderedPageBreak/>
        <w:t>ABSTRACT</w:t>
      </w:r>
      <w:bookmarkEnd w:id="0"/>
      <w:bookmarkEnd w:id="1"/>
      <w:bookmarkEnd w:id="2"/>
      <w:bookmarkEnd w:id="3"/>
      <w:bookmarkEnd w:id="4"/>
      <w:bookmarkEnd w:id="5"/>
    </w:p>
    <w:p w:rsidR="00FF2D00" w:rsidRDefault="00FF2D00" w:rsidP="00FF2D00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Sex reversal techniques offer an innovative solution to improve poultry production and achieve mono-sexing in poultry. This study investigated sex reversal techniques and their influence on hatching parameters, sex ratio and post-hatch performance of egg and meat-type chickens. The study was divided into three experiments. Experiment I considered effects of temperature dependent sex reversal techniques and oral administration of </w:t>
      </w:r>
      <w:proofErr w:type="spellStart"/>
      <w:r>
        <w:rPr>
          <w:rFonts w:ascii="Times New Roman" w:hAnsi="Times New Roman" w:cs="Times New Roman"/>
          <w:sz w:val="24"/>
          <w:szCs w:val="24"/>
        </w:rPr>
        <w:t>oestradiol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on egg-type chickens Experiment II investigated the role of temperature dependent sex reversal techniques and oral administration of </w:t>
      </w:r>
      <w:proofErr w:type="spellStart"/>
      <w:r>
        <w:rPr>
          <w:rFonts w:ascii="Times New Roman" w:hAnsi="Times New Roman" w:cs="Times New Roman"/>
          <w:sz w:val="24"/>
          <w:szCs w:val="24"/>
        </w:rPr>
        <w:t>letrozole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on meat-type chicken and experiment III consider in </w:t>
      </w:r>
      <w:proofErr w:type="spellStart"/>
      <w:r>
        <w:rPr>
          <w:rFonts w:ascii="Times New Roman" w:hAnsi="Times New Roman" w:cs="Times New Roman"/>
          <w:sz w:val="24"/>
          <w:szCs w:val="24"/>
        </w:rPr>
        <w:t>ovo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injection of </w:t>
      </w:r>
      <w:proofErr w:type="spellStart"/>
      <w:r>
        <w:rPr>
          <w:rFonts w:ascii="Times New Roman" w:hAnsi="Times New Roman" w:cs="Times New Roman"/>
          <w:sz w:val="24"/>
          <w:szCs w:val="24"/>
        </w:rPr>
        <w:t>oestradiol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>
        <w:rPr>
          <w:rFonts w:ascii="Times New Roman" w:hAnsi="Times New Roman" w:cs="Times New Roman"/>
          <w:sz w:val="24"/>
          <w:szCs w:val="24"/>
        </w:rPr>
        <w:t>letrozole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on performance of broiler chicken  Data collected in the course of three experiments were respectively subjected to</w:t>
      </w:r>
      <w:r>
        <w:rPr>
          <w:rFonts w:ascii="Times New Roman" w:hAnsi="Times New Roman"/>
          <w:sz w:val="24"/>
          <w:szCs w:val="24"/>
        </w:rPr>
        <w:t xml:space="preserve"> one-way Analysis of Variance. In experiment I, hatching parameters and sex ratio were not significantly (p&gt;0.05) affected by higher incubation temperature (38.1</w:t>
      </w:r>
      <w:r>
        <w:rPr>
          <w:rFonts w:ascii="Cambria Math" w:hAnsi="Cambria Math" w:cs="Cambria Math"/>
          <w:sz w:val="24"/>
          <w:szCs w:val="24"/>
        </w:rPr>
        <w:t>℃</w:t>
      </w:r>
      <w:r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 xml:space="preserve">, while in experiment two, higher chick weights </w:t>
      </w:r>
      <w:r>
        <w:rPr>
          <w:rFonts w:ascii="Times New Roman" w:hAnsi="Times New Roman" w:cs="Times New Roman"/>
          <w:sz w:val="24"/>
          <w:szCs w:val="24"/>
        </w:rPr>
        <w:t xml:space="preserve">(45.21,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CA"/>
        </w:rPr>
        <w:t xml:space="preserve">45.24 and 45.31 g) were observed in birds resulting from positive control as well as those administered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CA"/>
        </w:rPr>
        <w:t>letrozole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CA"/>
        </w:rPr>
        <w:t xml:space="preserve"> orally at 0.5 and 1 ml per bird respectively. </w:t>
      </w:r>
      <w:r>
        <w:rPr>
          <w:rFonts w:ascii="Times New Roman" w:hAnsi="Times New Roman" w:cs="Times New Roman"/>
          <w:sz w:val="24"/>
          <w:szCs w:val="24"/>
        </w:rPr>
        <w:t xml:space="preserve">. Furthermore, sex ratio also was influenced as more male chicks were observed in birds from the positive control 0.5 and 1 ml orally administered </w:t>
      </w:r>
      <w:proofErr w:type="spellStart"/>
      <w:r>
        <w:rPr>
          <w:rFonts w:ascii="Times New Roman" w:hAnsi="Times New Roman" w:cs="Times New Roman"/>
          <w:sz w:val="24"/>
          <w:szCs w:val="24"/>
        </w:rPr>
        <w:t>letrozole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In experiment three, </w:t>
      </w:r>
      <w:r>
        <w:rPr>
          <w:rFonts w:ascii="Times New Roman" w:hAnsi="Times New Roman" w:cs="Times New Roman"/>
          <w:i/>
          <w:sz w:val="24"/>
          <w:szCs w:val="24"/>
        </w:rPr>
        <w:t xml:space="preserve">in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ovo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injection of </w:t>
      </w:r>
      <w:proofErr w:type="spellStart"/>
      <w:r>
        <w:rPr>
          <w:rFonts w:ascii="Times New Roman" w:hAnsi="Times New Roman" w:cs="Times New Roman"/>
          <w:sz w:val="24"/>
          <w:szCs w:val="24"/>
        </w:rPr>
        <w:t>letrozole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increased percentage chick yield (73.68%) and resulted in significantly (p&lt;0.05) higher percentage of male chicks (87.71%), while hatchability was reduced significantly (p&lt;0.05) as a result of </w:t>
      </w:r>
      <w:r>
        <w:rPr>
          <w:rFonts w:ascii="Times New Roman" w:hAnsi="Times New Roman" w:cs="Times New Roman"/>
          <w:i/>
          <w:sz w:val="24"/>
          <w:szCs w:val="24"/>
        </w:rPr>
        <w:t xml:space="preserve">in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ovo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injection of </w:t>
      </w:r>
      <w:proofErr w:type="spellStart"/>
      <w:r>
        <w:rPr>
          <w:rFonts w:ascii="Times New Roman" w:hAnsi="Times New Roman" w:cs="Times New Roman"/>
          <w:sz w:val="24"/>
          <w:szCs w:val="24"/>
        </w:rPr>
        <w:t>oestradiol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(45.00%). In experiment one, post-hatch administration of </w:t>
      </w:r>
      <w:proofErr w:type="spellStart"/>
      <w:r>
        <w:rPr>
          <w:rFonts w:ascii="Times New Roman" w:hAnsi="Times New Roman" w:cs="Times New Roman"/>
          <w:sz w:val="24"/>
          <w:szCs w:val="24"/>
        </w:rPr>
        <w:t>oestradiol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at 1ml significantly (p&lt;0.05) increased the progesterone level (</w:t>
      </w:r>
      <w:r>
        <w:rPr>
          <w:rFonts w:ascii="Times New Roman" w:eastAsia="Times New Roman" w:hAnsi="Times New Roman" w:cs="Times New Roman"/>
          <w:color w:val="000000"/>
          <w:lang w:val="en-CA"/>
        </w:rPr>
        <w:t>82.55ng/g) and also increased the number of ova (8.50) and ova weight (18.05g) of 16 weeks old egg-type chicken.</w:t>
      </w:r>
      <w:r>
        <w:rPr>
          <w:rFonts w:ascii="Times New Roman" w:hAnsi="Times New Roman" w:cs="Times New Roman"/>
          <w:sz w:val="24"/>
          <w:szCs w:val="24"/>
        </w:rPr>
        <w:t xml:space="preserve"> Administration of </w:t>
      </w:r>
      <w:proofErr w:type="spellStart"/>
      <w:r>
        <w:rPr>
          <w:rFonts w:ascii="Times New Roman" w:hAnsi="Times New Roman" w:cs="Times New Roman"/>
          <w:sz w:val="24"/>
          <w:szCs w:val="24"/>
        </w:rPr>
        <w:t>letrozole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post hatch in experiment two and </w:t>
      </w:r>
      <w:r>
        <w:rPr>
          <w:rFonts w:ascii="Times New Roman" w:hAnsi="Times New Roman" w:cs="Times New Roman"/>
          <w:i/>
          <w:sz w:val="24"/>
          <w:szCs w:val="24"/>
        </w:rPr>
        <w:t xml:space="preserve">in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ovo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injection of </w:t>
      </w:r>
      <w:proofErr w:type="spellStart"/>
      <w:r>
        <w:rPr>
          <w:rFonts w:ascii="Times New Roman" w:hAnsi="Times New Roman" w:cs="Times New Roman"/>
          <w:sz w:val="24"/>
          <w:szCs w:val="24"/>
        </w:rPr>
        <w:t>letrozole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in experiment three resulted in significantly (p&lt;0.05) improved post hatch performance in term of body weight (</w:t>
      </w:r>
      <w:r>
        <w:rPr>
          <w:rFonts w:ascii="Times New Roman" w:eastAsia="Times New Roman" w:hAnsi="Times New Roman" w:cs="Times New Roman"/>
          <w:color w:val="000000"/>
          <w:lang w:val="en-CA"/>
        </w:rPr>
        <w:t>2121.40g and 2196.70g</w:t>
      </w:r>
      <w:r>
        <w:rPr>
          <w:rFonts w:ascii="Times New Roman" w:hAnsi="Times New Roman" w:cs="Times New Roman"/>
          <w:sz w:val="24"/>
          <w:szCs w:val="24"/>
        </w:rPr>
        <w:t xml:space="preserve">), daily </w:t>
      </w:r>
      <w:r>
        <w:rPr>
          <w:rFonts w:ascii="Times New Roman" w:hAnsi="Times New Roman" w:cs="Times New Roman"/>
          <w:sz w:val="24"/>
          <w:szCs w:val="24"/>
        </w:rPr>
        <w:lastRenderedPageBreak/>
        <w:t>weight gain (</w:t>
      </w:r>
      <w:r>
        <w:rPr>
          <w:rFonts w:ascii="Times New Roman" w:eastAsia="Times New Roman" w:hAnsi="Times New Roman" w:cs="Times New Roman"/>
          <w:color w:val="000000"/>
          <w:lang w:val="en-CA"/>
        </w:rPr>
        <w:t xml:space="preserve">56.97g and </w:t>
      </w:r>
      <w:r>
        <w:rPr>
          <w:rFonts w:ascii="Times New Roman" w:hAnsi="Times New Roman" w:cs="Times New Roman"/>
          <w:sz w:val="24"/>
          <w:szCs w:val="24"/>
        </w:rPr>
        <w:t>49.05g), feed conversion ratio (1.</w:t>
      </w:r>
      <w:r>
        <w:rPr>
          <w:rFonts w:ascii="Times New Roman" w:eastAsia="Times New Roman" w:hAnsi="Times New Roman" w:cs="Times New Roman"/>
          <w:color w:val="000000"/>
          <w:lang w:val="en-CA"/>
        </w:rPr>
        <w:t>68 and 1.63)</w:t>
      </w:r>
      <w:r>
        <w:rPr>
          <w:rFonts w:ascii="Times New Roman" w:hAnsi="Times New Roman" w:cs="Times New Roman"/>
          <w:sz w:val="24"/>
          <w:szCs w:val="24"/>
        </w:rPr>
        <w:t>, body linear measurement and carcass characteristics. The study concluded that while higher incubation temperature (38.1</w:t>
      </w:r>
      <w:r>
        <w:rPr>
          <w:rFonts w:ascii="Cambria Math" w:hAnsi="Cambria Math" w:cs="Cambria Math"/>
          <w:sz w:val="24"/>
          <w:szCs w:val="24"/>
        </w:rPr>
        <w:t>℃</w:t>
      </w:r>
      <w:r>
        <w:rPr>
          <w:rFonts w:ascii="Times New Roman" w:hAnsi="Times New Roman" w:cs="Times New Roman"/>
          <w:sz w:val="24"/>
          <w:szCs w:val="24"/>
        </w:rPr>
        <w:t xml:space="preserve">) cannot be used as a sex reversal technique in egg-type chicken, it is an effective sex reversal method in meat-type chicken. Furthermore, </w:t>
      </w:r>
      <w:r>
        <w:rPr>
          <w:rFonts w:ascii="Times New Roman" w:hAnsi="Times New Roman" w:cs="Times New Roman"/>
          <w:i/>
          <w:sz w:val="24"/>
          <w:szCs w:val="24"/>
        </w:rPr>
        <w:t xml:space="preserve">in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ovo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injection of eggs with </w:t>
      </w:r>
      <w:proofErr w:type="spellStart"/>
      <w:r>
        <w:rPr>
          <w:rFonts w:ascii="Times New Roman" w:hAnsi="Times New Roman" w:cs="Times New Roman"/>
          <w:sz w:val="24"/>
          <w:szCs w:val="24"/>
        </w:rPr>
        <w:t>letrozole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is an effective sex reversal method and can aid higher number of male population in broiler production with improved post-hatch performance.</w:t>
      </w:r>
    </w:p>
    <w:p w:rsidR="00FF2D00" w:rsidRDefault="00FF2D00" w:rsidP="00FF2D00">
      <w:pPr>
        <w:pStyle w:val="Heading1"/>
        <w:spacing w:before="0" w:line="480" w:lineRule="auto"/>
      </w:pPr>
    </w:p>
    <w:p w:rsidR="00FF2D00" w:rsidRDefault="00FF2D00"/>
    <w:sectPr w:rsidR="00FF2D0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2"/>
  <w:proofState w:spelling="clean" w:grammar="clean"/>
  <w:defaultTabStop w:val="720"/>
  <w:characterSpacingControl w:val="doNotCompress"/>
  <w:compat/>
  <w:rsids>
    <w:rsidRoot w:val="00FF2D00"/>
    <w:rsid w:val="00FF2D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F2D00"/>
    <w:rPr>
      <w:lang w:val="en-GB"/>
    </w:rPr>
  </w:style>
  <w:style w:type="paragraph" w:styleId="Heading1">
    <w:name w:val="heading 1"/>
    <w:basedOn w:val="Normal"/>
    <w:next w:val="Normal"/>
    <w:link w:val="Heading1Char"/>
    <w:qFormat/>
    <w:rsid w:val="00FF2D00"/>
    <w:pPr>
      <w:keepNext/>
      <w:spacing w:before="360" w:after="180" w:line="360" w:lineRule="auto"/>
      <w:jc w:val="both"/>
      <w:outlineLvl w:val="0"/>
    </w:pPr>
    <w:rPr>
      <w:rFonts w:ascii="Times New Roman" w:eastAsia="SimSun" w:hAnsi="Times New Roman" w:cs="SimSun"/>
      <w:b/>
      <w:bCs/>
      <w:kern w:val="32"/>
      <w:sz w:val="24"/>
      <w:szCs w:val="32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qFormat/>
    <w:rsid w:val="00FF2D00"/>
    <w:rPr>
      <w:rFonts w:ascii="Times New Roman" w:eastAsia="SimSun" w:hAnsi="Times New Roman" w:cs="SimSun"/>
      <w:b/>
      <w:bCs/>
      <w:kern w:val="32"/>
      <w:sz w:val="24"/>
      <w:szCs w:val="32"/>
    </w:rPr>
  </w:style>
  <w:style w:type="character" w:styleId="Emphasis">
    <w:name w:val="Emphasis"/>
    <w:uiPriority w:val="20"/>
    <w:qFormat/>
    <w:rsid w:val="00FF2D00"/>
    <w:rPr>
      <w:rFonts w:ascii="Calibri" w:eastAsia="Calibri" w:hAnsi="Calibri" w:cs="SimSun"/>
      <w:i/>
      <w:iCs/>
      <w:sz w:val="22"/>
      <w:szCs w:val="22"/>
      <w:lang w:val="en-US" w:eastAsia="en-US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457</Words>
  <Characters>2605</Characters>
  <Application>Microsoft Office Word</Application>
  <DocSecurity>0</DocSecurity>
  <Lines>21</Lines>
  <Paragraphs>6</Paragraphs>
  <ScaleCrop>false</ScaleCrop>
  <Company/>
  <LinksUpToDate>false</LinksUpToDate>
  <CharactersWithSpaces>3056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FUNAAB LIBRARY</dc:creator>
  <cp:lastModifiedBy>FUNAAB LIBRARY</cp:lastModifiedBy>
  <cp:revision>1</cp:revision>
  <dcterms:created xsi:type="dcterms:W3CDTF">2025-12-08T08:04:00Z</dcterms:created>
  <dcterms:modified xsi:type="dcterms:W3CDTF">2025-12-08T08:05:00Z</dcterms:modified>
</cp:coreProperties>
</file>