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1F5" w:rsidRPr="0012134C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Cs w:val="24"/>
        </w:rPr>
      </w:pPr>
      <w:r w:rsidRPr="0012134C">
        <w:rPr>
          <w:rFonts w:ascii="Times New Roman" w:hAnsi="Times New Roman" w:cs="Times New Roman"/>
          <w:b/>
          <w:szCs w:val="24"/>
        </w:rPr>
        <w:t>DIETARY ASSESSMENT, NUTRITIONAL BIOMARKERS AND PREVALENCE OF METABOLIC SYNDROME AMONG ADOLESCENTS IN GUSAU URBAN AREA, ZAMFARA STATE</w:t>
      </w:r>
    </w:p>
    <w:p w:rsidR="004231F5" w:rsidRDefault="004231F5" w:rsidP="004231F5">
      <w:pPr>
        <w:tabs>
          <w:tab w:val="left" w:pos="6663"/>
        </w:tabs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916">
        <w:rPr>
          <w:rFonts w:ascii="Times New Roman" w:hAnsi="Times New Roman" w:cs="Times New Roman"/>
          <w:b/>
          <w:sz w:val="24"/>
          <w:szCs w:val="24"/>
        </w:rPr>
        <w:t xml:space="preserve">BY </w:t>
      </w:r>
    </w:p>
    <w:p w:rsidR="004231F5" w:rsidRPr="00E77916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31F5" w:rsidRPr="00E77916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916">
        <w:rPr>
          <w:rFonts w:ascii="Times New Roman" w:hAnsi="Times New Roman" w:cs="Times New Roman"/>
          <w:b/>
          <w:sz w:val="24"/>
          <w:szCs w:val="24"/>
        </w:rPr>
        <w:t>ITIAT, JOSEPH FRANCIS</w:t>
      </w: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PG</w:t>
      </w:r>
      <w:r w:rsidRPr="00E77916">
        <w:rPr>
          <w:rFonts w:ascii="Times New Roman" w:hAnsi="Times New Roman" w:cs="Times New Roman"/>
          <w:b/>
          <w:sz w:val="24"/>
          <w:szCs w:val="24"/>
        </w:rPr>
        <w:t>19/0800</w:t>
      </w:r>
    </w:p>
    <w:p w:rsidR="004231F5" w:rsidRDefault="004231F5" w:rsidP="004231F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916">
        <w:rPr>
          <w:rFonts w:ascii="Times New Roman" w:hAnsi="Times New Roman" w:cs="Times New Roman"/>
          <w:b/>
          <w:sz w:val="24"/>
          <w:szCs w:val="24"/>
        </w:rPr>
        <w:t>DEPARTMENT OF NUTRITION AND DIETETICS</w:t>
      </w:r>
    </w:p>
    <w:p w:rsidR="004231F5" w:rsidRPr="00E77916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916">
        <w:rPr>
          <w:rFonts w:ascii="Times New Roman" w:hAnsi="Times New Roman" w:cs="Times New Roman"/>
          <w:b/>
          <w:sz w:val="24"/>
          <w:szCs w:val="24"/>
        </w:rPr>
        <w:t>COLLEGE OF FOOD SCIENCE AND HUMAN ECOLOGY</w:t>
      </w: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916">
        <w:rPr>
          <w:rFonts w:ascii="Times New Roman" w:hAnsi="Times New Roman" w:cs="Times New Roman"/>
          <w:b/>
          <w:sz w:val="24"/>
          <w:szCs w:val="24"/>
        </w:rPr>
        <w:t>FEDERAL UNIVERSITY OF AGRICULTURE ABEOKUTA, OGUN STATE</w:t>
      </w: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31F5" w:rsidRPr="003741D6" w:rsidRDefault="004231F5" w:rsidP="004231F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Thesis</w:t>
      </w:r>
      <w:r w:rsidRPr="00DF728B">
        <w:rPr>
          <w:rFonts w:ascii="Times New Roman" w:hAnsi="Times New Roman" w:cs="Times New Roman"/>
          <w:b/>
          <w:sz w:val="24"/>
          <w:szCs w:val="24"/>
        </w:rPr>
        <w:t xml:space="preserve"> submitted to the department of Nutrition and Dietetics, College of Food </w:t>
      </w:r>
      <w:r w:rsidRPr="007A6B91">
        <w:rPr>
          <w:rFonts w:ascii="Times New Roman" w:hAnsi="Times New Roman" w:cs="Times New Roman"/>
          <w:b/>
          <w:sz w:val="24"/>
          <w:szCs w:val="24"/>
        </w:rPr>
        <w:t xml:space="preserve">Science and Human Ecology, Federal University of Agriculture Abeokuta in partial </w:t>
      </w:r>
      <w:proofErr w:type="spellStart"/>
      <w:r w:rsidRPr="007A6B91">
        <w:rPr>
          <w:rFonts w:ascii="Times New Roman" w:hAnsi="Times New Roman" w:cs="Times New Roman"/>
          <w:b/>
          <w:sz w:val="24"/>
          <w:szCs w:val="24"/>
        </w:rPr>
        <w:t>fulfillment</w:t>
      </w:r>
      <w:proofErr w:type="spellEnd"/>
      <w:r w:rsidRPr="007A6B91">
        <w:rPr>
          <w:rFonts w:ascii="Times New Roman" w:hAnsi="Times New Roman" w:cs="Times New Roman"/>
          <w:b/>
          <w:sz w:val="24"/>
          <w:szCs w:val="24"/>
        </w:rPr>
        <w:t xml:space="preserve"> of the requirement for the award of Doctorate degree (PhD.) in Nutrition and Dietetics</w:t>
      </w:r>
    </w:p>
    <w:p w:rsidR="004231F5" w:rsidRPr="00E77916" w:rsidRDefault="004231F5" w:rsidP="004231F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231F5" w:rsidRDefault="004231F5" w:rsidP="00423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231F5" w:rsidRDefault="004231F5" w:rsidP="004231F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DECEMBER, 2024</w:t>
      </w:r>
    </w:p>
    <w:p w:rsidR="004231F5" w:rsidRPr="00F54882" w:rsidRDefault="004231F5" w:rsidP="004231F5">
      <w:pPr>
        <w:pStyle w:val="ListParagraph"/>
        <w:tabs>
          <w:tab w:val="left" w:pos="2149"/>
        </w:tabs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231F5" w:rsidRPr="001108CE" w:rsidRDefault="004231F5" w:rsidP="004231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br w:type="page"/>
      </w:r>
      <w:r w:rsidRPr="001108CE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4231F5" w:rsidRPr="00C0325F" w:rsidRDefault="004231F5" w:rsidP="004231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325F">
        <w:rPr>
          <w:rFonts w:ascii="Times New Roman" w:hAnsi="Times New Roman" w:cs="Times New Roman"/>
          <w:sz w:val="24"/>
          <w:szCs w:val="24"/>
        </w:rPr>
        <w:t>There is an increasing prevalence of metabolic syndrome among adolescents globally. In Nigeria, early detection using nutritional biomarkers; serum uric acid (SUA), serum sodium-to-potassium ratio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0325F">
        <w:rPr>
          <w:rFonts w:ascii="Times New Roman" w:hAnsi="Times New Roman" w:cs="Times New Roman"/>
          <w:sz w:val="24"/>
          <w:szCs w:val="24"/>
        </w:rPr>
        <w:t>Na</w:t>
      </w:r>
      <w:proofErr w:type="gramStart"/>
      <w:r w:rsidRPr="00C0325F">
        <w:rPr>
          <w:rFonts w:ascii="Times New Roman" w:hAnsi="Times New Roman" w:cs="Times New Roman"/>
          <w:sz w:val="24"/>
          <w:szCs w:val="24"/>
        </w:rPr>
        <w:t>:K</w:t>
      </w:r>
      <w:proofErr w:type="spellEnd"/>
      <w:proofErr w:type="gramEnd"/>
      <w:r w:rsidRPr="00C0325F">
        <w:rPr>
          <w:rFonts w:ascii="Times New Roman" w:hAnsi="Times New Roman" w:cs="Times New Roman"/>
          <w:sz w:val="24"/>
          <w:szCs w:val="24"/>
        </w:rPr>
        <w:t xml:space="preserve">) and serum albumin (SALB) may be a promising and preventive measure in nutrition sciences. This study investigated the dietary assessment, nutritional biomarkers and prevalence of metabolic syndrome among adolescents in </w:t>
      </w:r>
      <w:proofErr w:type="spellStart"/>
      <w:r w:rsidRPr="00C0325F">
        <w:rPr>
          <w:rFonts w:ascii="Times New Roman" w:hAnsi="Times New Roman" w:cs="Times New Roman"/>
          <w:sz w:val="24"/>
          <w:szCs w:val="24"/>
        </w:rPr>
        <w:t>Gusau</w:t>
      </w:r>
      <w:proofErr w:type="spellEnd"/>
      <w:r w:rsidRPr="00C0325F">
        <w:rPr>
          <w:rFonts w:ascii="Times New Roman" w:hAnsi="Times New Roman" w:cs="Times New Roman"/>
          <w:sz w:val="24"/>
          <w:szCs w:val="24"/>
        </w:rPr>
        <w:t xml:space="preserve"> urban area, </w:t>
      </w:r>
      <w:proofErr w:type="spellStart"/>
      <w:r w:rsidRPr="00C0325F">
        <w:rPr>
          <w:rFonts w:ascii="Times New Roman" w:hAnsi="Times New Roman" w:cs="Times New Roman"/>
          <w:sz w:val="24"/>
          <w:szCs w:val="24"/>
        </w:rPr>
        <w:t>Zamfara</w:t>
      </w:r>
      <w:proofErr w:type="spellEnd"/>
      <w:r w:rsidRPr="00C0325F">
        <w:rPr>
          <w:rFonts w:ascii="Times New Roman" w:hAnsi="Times New Roman" w:cs="Times New Roman"/>
          <w:sz w:val="24"/>
          <w:szCs w:val="24"/>
        </w:rPr>
        <w:t xml:space="preserve"> State. </w:t>
      </w:r>
      <w:r>
        <w:rPr>
          <w:rFonts w:ascii="Times New Roman" w:hAnsi="Times New Roman" w:cs="Times New Roman"/>
          <w:sz w:val="24"/>
          <w:szCs w:val="24"/>
        </w:rPr>
        <w:t>The study is cross-</w:t>
      </w:r>
      <w:r w:rsidRPr="00C0325F">
        <w:rPr>
          <w:rFonts w:ascii="Times New Roman" w:hAnsi="Times New Roman" w:cs="Times New Roman"/>
          <w:sz w:val="24"/>
          <w:szCs w:val="24"/>
        </w:rPr>
        <w:t>sectional in design, where 400 re</w:t>
      </w:r>
      <w:r>
        <w:rPr>
          <w:rFonts w:ascii="Times New Roman" w:hAnsi="Times New Roman" w:cs="Times New Roman"/>
          <w:sz w:val="24"/>
          <w:szCs w:val="24"/>
        </w:rPr>
        <w:t xml:space="preserve">spondents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wereselected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from 6</w:t>
      </w:r>
      <w:r w:rsidRPr="00C0325F">
        <w:rPr>
          <w:rFonts w:ascii="Times New Roman" w:hAnsi="Times New Roman" w:cs="Times New Roman"/>
          <w:sz w:val="24"/>
          <w:szCs w:val="24"/>
        </w:rPr>
        <w:t xml:space="preserve"> private and 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Pr="00C0325F">
        <w:rPr>
          <w:rFonts w:ascii="Times New Roman" w:hAnsi="Times New Roman" w:cs="Times New Roman"/>
          <w:sz w:val="24"/>
          <w:szCs w:val="24"/>
        </w:rPr>
        <w:t xml:space="preserve">public secondary schools in </w:t>
      </w:r>
      <w:proofErr w:type="spellStart"/>
      <w:r w:rsidRPr="00C0325F">
        <w:rPr>
          <w:rFonts w:ascii="Times New Roman" w:hAnsi="Times New Roman" w:cs="Times New Roman"/>
          <w:sz w:val="24"/>
          <w:szCs w:val="24"/>
        </w:rPr>
        <w:t>Gusau</w:t>
      </w:r>
      <w:proofErr w:type="spellEnd"/>
      <w:r w:rsidRPr="00C0325F">
        <w:rPr>
          <w:rFonts w:ascii="Times New Roman" w:hAnsi="Times New Roman" w:cs="Times New Roman"/>
          <w:sz w:val="24"/>
          <w:szCs w:val="24"/>
        </w:rPr>
        <w:t xml:space="preserve"> Urban Area, </w:t>
      </w:r>
      <w:proofErr w:type="spellStart"/>
      <w:r w:rsidRPr="00C0325F">
        <w:rPr>
          <w:rFonts w:ascii="Times New Roman" w:hAnsi="Times New Roman" w:cs="Times New Roman"/>
          <w:sz w:val="24"/>
          <w:szCs w:val="24"/>
        </w:rPr>
        <w:t>Zamfara</w:t>
      </w:r>
      <w:proofErr w:type="spellEnd"/>
      <w:r w:rsidRPr="00C0325F">
        <w:rPr>
          <w:rFonts w:ascii="Times New Roman" w:hAnsi="Times New Roman" w:cs="Times New Roman"/>
          <w:sz w:val="24"/>
          <w:szCs w:val="24"/>
        </w:rPr>
        <w:t xml:space="preserve"> State using stratified proportionate and random sampling </w:t>
      </w:r>
      <w:proofErr w:type="spellStart"/>
      <w:r w:rsidRPr="00C0325F">
        <w:rPr>
          <w:rFonts w:ascii="Times New Roman" w:hAnsi="Times New Roman" w:cs="Times New Roman"/>
          <w:sz w:val="24"/>
          <w:szCs w:val="24"/>
        </w:rPr>
        <w:t>techniques</w:t>
      </w:r>
      <w:r>
        <w:rPr>
          <w:rFonts w:ascii="Times New Roman" w:hAnsi="Times New Roman" w:cs="Times New Roman"/>
          <w:sz w:val="24"/>
          <w:szCs w:val="24"/>
        </w:rPr>
        <w:t>.Nutrient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intake was assessed using 24-hour dietary recall questionnaire. Food consumption pattern was assessed using food frequency and diet history questionnaires. Anthropometry was assessed </w:t>
      </w:r>
      <w:r w:rsidRPr="00831B2C">
        <w:rPr>
          <w:rFonts w:ascii="Times New Roman" w:hAnsi="Times New Roman" w:cs="Times New Roman"/>
          <w:sz w:val="24"/>
          <w:szCs w:val="24"/>
        </w:rPr>
        <w:t>using standard instruments and biochemical parameters (nutritional biomarkers and metabolic syndrome components (</w:t>
      </w:r>
      <w:proofErr w:type="spellStart"/>
      <w:r w:rsidRPr="00831B2C">
        <w:rPr>
          <w:rFonts w:ascii="Times New Roman" w:hAnsi="Times New Roman" w:cs="Times New Roman"/>
          <w:sz w:val="24"/>
          <w:szCs w:val="24"/>
        </w:rPr>
        <w:t>MetS</w:t>
      </w:r>
      <w:proofErr w:type="spellEnd"/>
      <w:r w:rsidRPr="00831B2C">
        <w:rPr>
          <w:rFonts w:ascii="Times New Roman" w:hAnsi="Times New Roman" w:cs="Times New Roman"/>
          <w:sz w:val="24"/>
          <w:szCs w:val="24"/>
        </w:rPr>
        <w:t>); blood pressure, fasting blood glucose (FBS), total cholesterol (TCH), triglycerides (TRIG), high density lipoproteins (HDL) and low lipoproteins (LDL) were measured usi</w:t>
      </w:r>
      <w:r>
        <w:rPr>
          <w:rFonts w:ascii="Times New Roman" w:hAnsi="Times New Roman" w:cs="Times New Roman"/>
          <w:sz w:val="24"/>
          <w:szCs w:val="24"/>
        </w:rPr>
        <w:t xml:space="preserve">ng standard methods. </w:t>
      </w:r>
      <w:r w:rsidRPr="00831B2C">
        <w:rPr>
          <w:rFonts w:ascii="Times New Roman" w:hAnsi="Times New Roman" w:cs="Times New Roman"/>
          <w:sz w:val="24"/>
          <w:szCs w:val="24"/>
        </w:rPr>
        <w:t>BMI</w:t>
      </w:r>
      <w:r>
        <w:rPr>
          <w:rFonts w:ascii="Times New Roman" w:hAnsi="Times New Roman" w:cs="Times New Roman"/>
          <w:sz w:val="24"/>
          <w:szCs w:val="24"/>
        </w:rPr>
        <w:t>-for-Age</w:t>
      </w:r>
      <w:r w:rsidRPr="00831B2C">
        <w:rPr>
          <w:rFonts w:ascii="Times New Roman" w:hAnsi="Times New Roman" w:cs="Times New Roman"/>
          <w:sz w:val="24"/>
          <w:szCs w:val="24"/>
        </w:rPr>
        <w:t xml:space="preserve"> was calculated</w:t>
      </w:r>
      <w:r>
        <w:rPr>
          <w:rFonts w:ascii="Times New Roman" w:hAnsi="Times New Roman" w:cs="Times New Roman"/>
          <w:sz w:val="24"/>
          <w:szCs w:val="24"/>
        </w:rPr>
        <w:t xml:space="preserve"> using WHO </w:t>
      </w:r>
      <w:proofErr w:type="spellStart"/>
      <w:r>
        <w:rPr>
          <w:rFonts w:ascii="Times New Roman" w:hAnsi="Times New Roman" w:cs="Times New Roman"/>
          <w:sz w:val="24"/>
          <w:szCs w:val="24"/>
        </w:rPr>
        <w:t>AnthroPlus</w:t>
      </w:r>
      <w:proofErr w:type="spellEnd"/>
      <w:r w:rsidRPr="00831B2C">
        <w:rPr>
          <w:rFonts w:ascii="Times New Roman" w:hAnsi="Times New Roman" w:cs="Times New Roman"/>
          <w:sz w:val="24"/>
          <w:szCs w:val="24"/>
        </w:rPr>
        <w:t xml:space="preserve">. Nutrient intakes were obtained from the 24-hour diet recall using </w:t>
      </w:r>
      <w:proofErr w:type="spellStart"/>
      <w:r w:rsidRPr="00831B2C">
        <w:rPr>
          <w:rFonts w:ascii="Times New Roman" w:hAnsi="Times New Roman" w:cs="Times New Roman"/>
          <w:sz w:val="24"/>
          <w:szCs w:val="24"/>
        </w:rPr>
        <w:t>NutriSurvey</w:t>
      </w:r>
      <w:proofErr w:type="spellEnd"/>
      <w:r w:rsidRPr="00831B2C">
        <w:rPr>
          <w:rFonts w:ascii="Times New Roman" w:hAnsi="Times New Roman" w:cs="Times New Roman"/>
          <w:sz w:val="24"/>
          <w:szCs w:val="24"/>
        </w:rPr>
        <w:t xml:space="preserve"> software. Data were analysed using frequency counts, percentages, mean and standard deviation. Pearson’s </w:t>
      </w:r>
      <w:proofErr w:type="spellStart"/>
      <w:r w:rsidRPr="00831B2C">
        <w:rPr>
          <w:rFonts w:ascii="Times New Roman" w:hAnsi="Times New Roman" w:cs="Times New Roman"/>
          <w:sz w:val="24"/>
          <w:szCs w:val="24"/>
        </w:rPr>
        <w:t>bivariate</w:t>
      </w:r>
      <w:proofErr w:type="spellEnd"/>
      <w:r w:rsidRPr="00831B2C">
        <w:rPr>
          <w:rFonts w:ascii="Times New Roman" w:hAnsi="Times New Roman" w:cs="Times New Roman"/>
          <w:sz w:val="24"/>
          <w:szCs w:val="24"/>
        </w:rPr>
        <w:t xml:space="preserve"> correlation and multiple linear regression models were used to test for association among variables at p≤0.05. Results showed that 58.5% of respondents were within 15-19 years, 68.25% were males. The mean energy intake for males and females were 1442.55kcal and 1326.5kcal, and 1605.37kcal and 1479.59kcal, respectively for adolescents of 10-14, and 15-19 years. Sixty-eight percent of the respondents ate thrice a day. Pap was the most consumed for breakfast. Cereals were the most consumed food group. Mean </w:t>
      </w:r>
      <w:proofErr w:type="spellStart"/>
      <w:r w:rsidRPr="00831B2C">
        <w:rPr>
          <w:rFonts w:ascii="Times New Roman" w:hAnsi="Times New Roman" w:cs="Times New Roman"/>
          <w:sz w:val="24"/>
          <w:szCs w:val="24"/>
        </w:rPr>
        <w:t>MetS</w:t>
      </w:r>
      <w:proofErr w:type="spellEnd"/>
      <w:r w:rsidRPr="00831B2C">
        <w:rPr>
          <w:rFonts w:ascii="Times New Roman" w:hAnsi="Times New Roman" w:cs="Times New Roman"/>
          <w:sz w:val="24"/>
          <w:szCs w:val="24"/>
        </w:rPr>
        <w:t xml:space="preserve"> components and nutritional biomarkers were within the </w:t>
      </w:r>
      <w:r>
        <w:rPr>
          <w:rFonts w:ascii="Times New Roman" w:hAnsi="Times New Roman" w:cs="Times New Roman"/>
          <w:sz w:val="24"/>
          <w:szCs w:val="24"/>
        </w:rPr>
        <w:t xml:space="preserve">normal range except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gramStart"/>
      <w:r>
        <w:rPr>
          <w:rFonts w:ascii="Times New Roman" w:hAnsi="Times New Roman" w:cs="Times New Roman"/>
          <w:sz w:val="24"/>
          <w:szCs w:val="24"/>
        </w:rPr>
        <w:t>:K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ratiowhich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1B2C">
        <w:rPr>
          <w:rFonts w:ascii="Times New Roman" w:hAnsi="Times New Roman" w:cs="Times New Roman"/>
          <w:sz w:val="24"/>
          <w:szCs w:val="24"/>
        </w:rPr>
        <w:t xml:space="preserve">was elevated among females 10-14 years. The overall prevalence of </w:t>
      </w:r>
      <w:proofErr w:type="spellStart"/>
      <w:r w:rsidRPr="00831B2C">
        <w:rPr>
          <w:rFonts w:ascii="Times New Roman" w:hAnsi="Times New Roman" w:cs="Times New Roman"/>
          <w:sz w:val="24"/>
          <w:szCs w:val="24"/>
        </w:rPr>
        <w:t>MetS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3.0%. </w:t>
      </w:r>
      <w:r w:rsidRPr="00341E4E">
        <w:rPr>
          <w:rFonts w:ascii="Times New Roman" w:hAnsi="Times New Roman" w:cs="Times New Roman"/>
          <w:sz w:val="24"/>
          <w:szCs w:val="24"/>
        </w:rPr>
        <w:t xml:space="preserve">Carbohydrate </w:t>
      </w:r>
      <w:r w:rsidRPr="00A62FF5">
        <w:rPr>
          <w:rFonts w:ascii="Times New Roman" w:hAnsi="Times New Roman" w:cs="Times New Roman"/>
          <w:sz w:val="24"/>
          <w:szCs w:val="24"/>
        </w:rPr>
        <w:t xml:space="preserve">correlated positively with diastolic blood pressure (DBP) (r=0.239) in males and females 10-14 </w:t>
      </w:r>
      <w:proofErr w:type="spellStart"/>
      <w:r w:rsidRPr="00A62FF5">
        <w:rPr>
          <w:rFonts w:ascii="Times New Roman" w:hAnsi="Times New Roman" w:cs="Times New Roman"/>
          <w:sz w:val="24"/>
          <w:szCs w:val="24"/>
        </w:rPr>
        <w:t>years.</w:t>
      </w:r>
      <w:r w:rsidRPr="00D9668C">
        <w:rPr>
          <w:rFonts w:ascii="Times New Roman" w:hAnsi="Times New Roman" w:cs="Times New Roman"/>
          <w:sz w:val="24"/>
          <w:szCs w:val="24"/>
        </w:rPr>
        <w:t>Females</w:t>
      </w:r>
      <w:proofErr w:type="spellEnd"/>
      <w:r w:rsidRPr="00D9668C">
        <w:rPr>
          <w:rFonts w:ascii="Times New Roman" w:hAnsi="Times New Roman" w:cs="Times New Roman"/>
          <w:sz w:val="24"/>
          <w:szCs w:val="24"/>
        </w:rPr>
        <w:t xml:space="preserve"> 10-14 years had 5.3% obese (≤+3SD) BMI-for-Age. </w:t>
      </w:r>
      <w:r w:rsidRPr="00A62FF5">
        <w:rPr>
          <w:rFonts w:ascii="Times New Roman" w:hAnsi="Times New Roman" w:cs="Times New Roman"/>
          <w:sz w:val="24"/>
          <w:szCs w:val="24"/>
        </w:rPr>
        <w:t>SUA was positively correlated with LDL (r=0.548) and TCH (r=0.360) in males 10-14 years, with a positive relationship with SBP (r=0.391) and DBP(r=0.336) in females (10-14). In males 15-19 years, SUA had a positive relationship with HDL (r=0.337), TRIG (r=0.333) and TCH (r=0.484). Serum sodium-to-potassium ratio correlated positively with LDL(r=0.268). Serum albumin correlated with TRIG (r=0.371) and TCH (r=0.358). Serum uric acid predicted elevated LDL at 12% variation with (p≤0.01) level, R</w:t>
      </w:r>
      <w:r w:rsidRPr="00A62FF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62FF5">
        <w:rPr>
          <w:rFonts w:ascii="Times New Roman" w:hAnsi="Times New Roman" w:cs="Times New Roman"/>
          <w:sz w:val="24"/>
          <w:szCs w:val="24"/>
        </w:rPr>
        <w:t xml:space="preserve">=0.120, </w:t>
      </w:r>
      <w:proofErr w:type="gramStart"/>
      <w:r w:rsidRPr="00A62FF5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Pr="00A62FF5">
        <w:rPr>
          <w:rFonts w:ascii="Times New Roman" w:hAnsi="Times New Roman" w:cs="Times New Roman"/>
          <w:sz w:val="24"/>
          <w:szCs w:val="24"/>
        </w:rPr>
        <w:t>8.994).201. Serum uric acid and albumin predicted elevated TRIG at 10.6% variation with (p≤0.03) and (p≤0.01) level. R</w:t>
      </w:r>
      <w:r w:rsidRPr="00A62FF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62FF5">
        <w:rPr>
          <w:rFonts w:ascii="Times New Roman" w:hAnsi="Times New Roman" w:cs="Times New Roman"/>
          <w:sz w:val="24"/>
          <w:szCs w:val="24"/>
        </w:rPr>
        <w:t xml:space="preserve">=0.106, </w:t>
      </w:r>
      <w:proofErr w:type="gramStart"/>
      <w:r w:rsidRPr="00A62FF5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Pr="00A62FF5">
        <w:rPr>
          <w:rFonts w:ascii="Times New Roman" w:hAnsi="Times New Roman" w:cs="Times New Roman"/>
          <w:sz w:val="24"/>
          <w:szCs w:val="24"/>
        </w:rPr>
        <w:t>7.854).201 and TCH at 17.2% variation with (p≤0.01) level. R</w:t>
      </w:r>
      <w:r w:rsidRPr="00A62FF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62FF5">
        <w:rPr>
          <w:rFonts w:ascii="Times New Roman" w:hAnsi="Times New Roman" w:cs="Times New Roman"/>
          <w:sz w:val="24"/>
          <w:szCs w:val="24"/>
        </w:rPr>
        <w:t xml:space="preserve">=0.172, </w:t>
      </w:r>
      <w:proofErr w:type="gramStart"/>
      <w:r w:rsidRPr="00A62FF5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Pr="00A62FF5">
        <w:rPr>
          <w:rFonts w:ascii="Times New Roman" w:hAnsi="Times New Roman" w:cs="Times New Roman"/>
          <w:sz w:val="24"/>
          <w:szCs w:val="24"/>
        </w:rPr>
        <w:t xml:space="preserve">13.665).201, respectively. </w:t>
      </w:r>
      <w:r w:rsidRPr="003977A9">
        <w:rPr>
          <w:rFonts w:ascii="Times New Roman" w:hAnsi="Times New Roman" w:cs="Times New Roman"/>
          <w:sz w:val="24"/>
          <w:szCs w:val="24"/>
        </w:rPr>
        <w:t xml:space="preserve">There is a significant (p≤0.05) relationship between nutritional status, nutritional biomarkers and metabolic syndrome components. </w:t>
      </w:r>
      <w:r w:rsidRPr="00A62FF5">
        <w:rPr>
          <w:rFonts w:ascii="Times New Roman" w:hAnsi="Times New Roman" w:cs="Times New Roman"/>
          <w:sz w:val="24"/>
          <w:szCs w:val="24"/>
        </w:rPr>
        <w:t>Serum uric acid and albumin are predictors of metabolic syndrome in adolescents. Diet and lifestyle as modifiable factors should be the pivot for nutrition education intervention for adolescents.</w:t>
      </w:r>
    </w:p>
    <w:p w:rsidR="00316251" w:rsidRDefault="00316251"/>
    <w:sectPr w:rsidR="00316251" w:rsidSect="003162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4231F5"/>
    <w:rsid w:val="00316251"/>
    <w:rsid w:val="00423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31F5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31F5"/>
    <w:pPr>
      <w:spacing w:after="200" w:line="276" w:lineRule="auto"/>
      <w:ind w:left="720"/>
      <w:contextualSpacing/>
    </w:pPr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3347</Characters>
  <Application>Microsoft Office Word</Application>
  <DocSecurity>0</DocSecurity>
  <Lines>27</Lines>
  <Paragraphs>7</Paragraphs>
  <ScaleCrop>false</ScaleCrop>
  <Company/>
  <LinksUpToDate>false</LinksUpToDate>
  <CharactersWithSpaces>3927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2025-12-03T11:21:00Z</dcterms:created>
  <dcterms:modified xsi:type="dcterms:W3CDTF">2025-12-03T11:22:00Z</dcterms:modified>
</cp:coreProperties>
</file>