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666FF" w:rsidRPr="006C68C7" w:rsidRDefault="00E666FF" w:rsidP="00E666FF">
      <w:pPr>
        <w:spacing w:line="480" w:lineRule="auto"/>
        <w:ind w:right="90"/>
        <w:jc w:val="center"/>
        <w:rPr>
          <w:rFonts w:ascii="Times New Roman" w:hAnsi="Times New Roman" w:cs="Times New Roman"/>
          <w:b/>
          <w:bCs/>
          <w:sz w:val="24"/>
          <w:szCs w:val="24"/>
        </w:rPr>
      </w:pPr>
      <w:r w:rsidRPr="00637B08">
        <w:rPr>
          <w:rFonts w:ascii="Times New Roman" w:hAnsi="Times New Roman" w:cs="Times New Roman"/>
          <w:b/>
          <w:sz w:val="24"/>
          <w:szCs w:val="24"/>
          <w:shd w:val="clear" w:color="auto" w:fill="FFFFFF"/>
        </w:rPr>
        <w:t>DIET QUALITY AND NUTRITIONAL STATUS OF PATIENTS WITH CO-EXISTENCE OF DIABETES AND HYPERTENSION ATTENDING THE HEALTHCARE FACILITIES IN OGUN STATE</w:t>
      </w:r>
    </w:p>
    <w:p w:rsidR="00E666FF" w:rsidRPr="006C68C7" w:rsidRDefault="00E666FF" w:rsidP="00E666FF">
      <w:pPr>
        <w:ind w:right="90"/>
        <w:jc w:val="center"/>
        <w:rPr>
          <w:rFonts w:ascii="Times New Roman" w:hAnsi="Times New Roman" w:cs="Times New Roman"/>
          <w:b/>
          <w:bCs/>
          <w:sz w:val="24"/>
          <w:szCs w:val="24"/>
        </w:rPr>
      </w:pPr>
    </w:p>
    <w:p w:rsidR="00E666FF" w:rsidRDefault="00E666FF" w:rsidP="00E666FF">
      <w:pPr>
        <w:ind w:right="90"/>
        <w:jc w:val="center"/>
        <w:rPr>
          <w:rFonts w:ascii="Times New Roman" w:hAnsi="Times New Roman" w:cs="Times New Roman"/>
          <w:b/>
          <w:bCs/>
          <w:sz w:val="24"/>
          <w:szCs w:val="24"/>
        </w:rPr>
      </w:pPr>
      <w:r>
        <w:rPr>
          <w:rFonts w:ascii="Times New Roman" w:hAnsi="Times New Roman" w:cs="Times New Roman"/>
          <w:b/>
          <w:bCs/>
          <w:sz w:val="24"/>
          <w:szCs w:val="24"/>
        </w:rPr>
        <w:br/>
      </w:r>
    </w:p>
    <w:p w:rsidR="00E666FF" w:rsidRPr="006C68C7" w:rsidRDefault="00E666FF" w:rsidP="00E666FF">
      <w:pPr>
        <w:ind w:right="90"/>
        <w:jc w:val="center"/>
        <w:rPr>
          <w:rFonts w:ascii="Times New Roman" w:hAnsi="Times New Roman" w:cs="Times New Roman"/>
          <w:b/>
          <w:bCs/>
          <w:sz w:val="24"/>
          <w:szCs w:val="24"/>
        </w:rPr>
      </w:pPr>
      <w:r w:rsidRPr="006C68C7">
        <w:rPr>
          <w:rFonts w:ascii="Times New Roman" w:hAnsi="Times New Roman" w:cs="Times New Roman"/>
          <w:b/>
          <w:bCs/>
          <w:sz w:val="24"/>
          <w:szCs w:val="24"/>
        </w:rPr>
        <w:t>BY</w:t>
      </w:r>
    </w:p>
    <w:p w:rsidR="00E666FF" w:rsidRPr="006C68C7" w:rsidRDefault="00E666FF" w:rsidP="00E666FF">
      <w:pPr>
        <w:ind w:right="90"/>
        <w:jc w:val="center"/>
        <w:rPr>
          <w:rFonts w:ascii="Times New Roman" w:hAnsi="Times New Roman" w:cs="Times New Roman"/>
          <w:b/>
          <w:bCs/>
          <w:sz w:val="24"/>
          <w:szCs w:val="24"/>
        </w:rPr>
      </w:pPr>
    </w:p>
    <w:p w:rsidR="00E666FF" w:rsidRPr="006C68C7" w:rsidRDefault="00E666FF" w:rsidP="00E666FF">
      <w:pPr>
        <w:ind w:right="90"/>
        <w:jc w:val="center"/>
        <w:rPr>
          <w:rFonts w:ascii="Times New Roman" w:hAnsi="Times New Roman" w:cs="Times New Roman"/>
          <w:b/>
          <w:bCs/>
          <w:sz w:val="24"/>
          <w:szCs w:val="24"/>
        </w:rPr>
      </w:pPr>
    </w:p>
    <w:p w:rsidR="00E666FF" w:rsidRDefault="00E666FF" w:rsidP="00E666FF">
      <w:pPr>
        <w:spacing w:line="240" w:lineRule="auto"/>
        <w:ind w:right="90"/>
        <w:jc w:val="center"/>
        <w:rPr>
          <w:rFonts w:ascii="Times New Roman" w:hAnsi="Times New Roman" w:cs="Times New Roman"/>
          <w:b/>
          <w:bCs/>
          <w:caps/>
          <w:sz w:val="24"/>
          <w:szCs w:val="24"/>
        </w:rPr>
      </w:pPr>
    </w:p>
    <w:p w:rsidR="00E666FF" w:rsidRDefault="00E666FF" w:rsidP="00E666FF">
      <w:pPr>
        <w:spacing w:line="240" w:lineRule="auto"/>
        <w:ind w:right="90"/>
        <w:jc w:val="center"/>
        <w:rPr>
          <w:rFonts w:ascii="Times New Roman" w:hAnsi="Times New Roman" w:cs="Times New Roman"/>
          <w:b/>
          <w:bCs/>
          <w:caps/>
          <w:sz w:val="24"/>
          <w:szCs w:val="24"/>
        </w:rPr>
      </w:pPr>
    </w:p>
    <w:p w:rsidR="00E666FF" w:rsidRPr="003A17B8" w:rsidRDefault="00E666FF" w:rsidP="00E666FF">
      <w:pPr>
        <w:spacing w:line="240" w:lineRule="auto"/>
        <w:ind w:right="90"/>
        <w:jc w:val="center"/>
        <w:rPr>
          <w:rFonts w:ascii="Times New Roman" w:hAnsi="Times New Roman" w:cs="Times New Roman"/>
          <w:b/>
          <w:caps/>
          <w:color w:val="000000" w:themeColor="text1"/>
          <w:sz w:val="24"/>
          <w:szCs w:val="24"/>
        </w:rPr>
      </w:pPr>
      <w:r w:rsidRPr="003A17B8">
        <w:rPr>
          <w:rFonts w:ascii="Times New Roman" w:hAnsi="Times New Roman" w:cs="Times New Roman"/>
          <w:b/>
          <w:bCs/>
          <w:caps/>
          <w:sz w:val="24"/>
          <w:szCs w:val="24"/>
        </w:rPr>
        <w:t>AKINWANDE, Folashade Muftihat</w:t>
      </w:r>
    </w:p>
    <w:p w:rsidR="00E666FF" w:rsidRPr="003A17B8" w:rsidRDefault="00E666FF" w:rsidP="00E666FF">
      <w:pPr>
        <w:spacing w:line="240" w:lineRule="auto"/>
        <w:ind w:right="90"/>
        <w:jc w:val="center"/>
        <w:rPr>
          <w:rFonts w:ascii="Times New Roman" w:hAnsi="Times New Roman" w:cs="Times New Roman"/>
          <w:b/>
          <w:sz w:val="24"/>
          <w:szCs w:val="24"/>
        </w:rPr>
      </w:pPr>
      <w:r w:rsidRPr="003A17B8">
        <w:rPr>
          <w:rFonts w:ascii="Times New Roman" w:hAnsi="Times New Roman" w:cs="Times New Roman"/>
          <w:b/>
          <w:color w:val="000000" w:themeColor="text1"/>
          <w:sz w:val="24"/>
          <w:szCs w:val="24"/>
        </w:rPr>
        <w:t xml:space="preserve">PG </w:t>
      </w:r>
      <w:r w:rsidRPr="003A17B8">
        <w:rPr>
          <w:rFonts w:ascii="Times New Roman" w:hAnsi="Times New Roman" w:cs="Times New Roman"/>
          <w:b/>
          <w:sz w:val="24"/>
          <w:szCs w:val="24"/>
        </w:rPr>
        <w:t>19/0890</w:t>
      </w:r>
    </w:p>
    <w:p w:rsidR="00E666FF" w:rsidRDefault="00E666FF" w:rsidP="00E666FF">
      <w:pPr>
        <w:spacing w:line="480" w:lineRule="auto"/>
        <w:ind w:right="90"/>
        <w:jc w:val="center"/>
        <w:rPr>
          <w:rFonts w:ascii="Times New Roman" w:hAnsi="Times New Roman" w:cs="Times New Roman"/>
          <w:b/>
          <w:sz w:val="24"/>
          <w:szCs w:val="24"/>
        </w:rPr>
      </w:pPr>
    </w:p>
    <w:p w:rsidR="00E666FF" w:rsidRDefault="00E666FF" w:rsidP="00E666FF">
      <w:pPr>
        <w:spacing w:line="480" w:lineRule="auto"/>
        <w:ind w:right="90"/>
        <w:jc w:val="center"/>
        <w:rPr>
          <w:rFonts w:ascii="Times New Roman" w:hAnsi="Times New Roman" w:cs="Times New Roman"/>
          <w:b/>
          <w:sz w:val="24"/>
          <w:szCs w:val="24"/>
        </w:rPr>
      </w:pPr>
    </w:p>
    <w:p w:rsidR="00E666FF" w:rsidRPr="00A01135" w:rsidRDefault="00E666FF" w:rsidP="00E666FF">
      <w:pPr>
        <w:spacing w:line="480" w:lineRule="auto"/>
        <w:ind w:right="90"/>
        <w:jc w:val="center"/>
        <w:rPr>
          <w:rFonts w:ascii="Times New Roman" w:hAnsi="Times New Roman" w:cs="Times New Roman"/>
          <w:b/>
          <w:sz w:val="24"/>
          <w:szCs w:val="24"/>
        </w:rPr>
      </w:pPr>
      <w:r w:rsidRPr="00A01135">
        <w:rPr>
          <w:rFonts w:ascii="Times New Roman" w:hAnsi="Times New Roman" w:cs="Times New Roman"/>
          <w:b/>
          <w:sz w:val="24"/>
          <w:szCs w:val="24"/>
        </w:rPr>
        <w:t xml:space="preserve">A Dissertation Submitted </w:t>
      </w:r>
      <w:r>
        <w:rPr>
          <w:rFonts w:ascii="Times New Roman" w:hAnsi="Times New Roman" w:cs="Times New Roman"/>
          <w:b/>
          <w:sz w:val="24"/>
          <w:szCs w:val="24"/>
        </w:rPr>
        <w:t>t</w:t>
      </w:r>
      <w:r w:rsidRPr="00A01135">
        <w:rPr>
          <w:rFonts w:ascii="Times New Roman" w:hAnsi="Times New Roman" w:cs="Times New Roman"/>
          <w:b/>
          <w:sz w:val="24"/>
          <w:szCs w:val="24"/>
        </w:rPr>
        <w:t xml:space="preserve">o </w:t>
      </w:r>
      <w:r>
        <w:rPr>
          <w:rFonts w:ascii="Times New Roman" w:hAnsi="Times New Roman" w:cs="Times New Roman"/>
          <w:b/>
          <w:sz w:val="24"/>
          <w:szCs w:val="24"/>
        </w:rPr>
        <w:t>t</w:t>
      </w:r>
      <w:r w:rsidRPr="00A01135">
        <w:rPr>
          <w:rFonts w:ascii="Times New Roman" w:hAnsi="Times New Roman" w:cs="Times New Roman"/>
          <w:b/>
          <w:sz w:val="24"/>
          <w:szCs w:val="24"/>
        </w:rPr>
        <w:t xml:space="preserve">he Department </w:t>
      </w:r>
      <w:r>
        <w:rPr>
          <w:rFonts w:ascii="Times New Roman" w:hAnsi="Times New Roman" w:cs="Times New Roman"/>
          <w:b/>
          <w:sz w:val="24"/>
          <w:szCs w:val="24"/>
        </w:rPr>
        <w:t>o</w:t>
      </w:r>
      <w:r w:rsidRPr="00A01135">
        <w:rPr>
          <w:rFonts w:ascii="Times New Roman" w:hAnsi="Times New Roman" w:cs="Times New Roman"/>
          <w:b/>
          <w:sz w:val="24"/>
          <w:szCs w:val="24"/>
        </w:rPr>
        <w:t xml:space="preserve">f Nutrition </w:t>
      </w:r>
      <w:r>
        <w:rPr>
          <w:rFonts w:ascii="Times New Roman" w:hAnsi="Times New Roman" w:cs="Times New Roman"/>
          <w:b/>
          <w:sz w:val="24"/>
          <w:szCs w:val="24"/>
        </w:rPr>
        <w:t>a</w:t>
      </w:r>
      <w:r w:rsidRPr="00A01135">
        <w:rPr>
          <w:rFonts w:ascii="Times New Roman" w:hAnsi="Times New Roman" w:cs="Times New Roman"/>
          <w:b/>
          <w:sz w:val="24"/>
          <w:szCs w:val="24"/>
        </w:rPr>
        <w:t xml:space="preserve">nd Dietetics, College </w:t>
      </w:r>
      <w:r>
        <w:rPr>
          <w:rFonts w:ascii="Times New Roman" w:hAnsi="Times New Roman" w:cs="Times New Roman"/>
          <w:b/>
          <w:sz w:val="24"/>
          <w:szCs w:val="24"/>
        </w:rPr>
        <w:t>o</w:t>
      </w:r>
      <w:r w:rsidRPr="00A01135">
        <w:rPr>
          <w:rFonts w:ascii="Times New Roman" w:hAnsi="Times New Roman" w:cs="Times New Roman"/>
          <w:b/>
          <w:sz w:val="24"/>
          <w:szCs w:val="24"/>
        </w:rPr>
        <w:t xml:space="preserve">f Food Science </w:t>
      </w:r>
      <w:r>
        <w:rPr>
          <w:rFonts w:ascii="Times New Roman" w:hAnsi="Times New Roman" w:cs="Times New Roman"/>
          <w:b/>
          <w:sz w:val="24"/>
          <w:szCs w:val="24"/>
        </w:rPr>
        <w:t>a</w:t>
      </w:r>
      <w:r w:rsidRPr="00A01135">
        <w:rPr>
          <w:rFonts w:ascii="Times New Roman" w:hAnsi="Times New Roman" w:cs="Times New Roman"/>
          <w:b/>
          <w:sz w:val="24"/>
          <w:szCs w:val="24"/>
        </w:rPr>
        <w:t xml:space="preserve">nd Human Ecology, Federal University </w:t>
      </w:r>
      <w:r>
        <w:rPr>
          <w:rFonts w:ascii="Times New Roman" w:hAnsi="Times New Roman" w:cs="Times New Roman"/>
          <w:b/>
          <w:sz w:val="24"/>
          <w:szCs w:val="24"/>
        </w:rPr>
        <w:t>o</w:t>
      </w:r>
      <w:r w:rsidRPr="00A01135">
        <w:rPr>
          <w:rFonts w:ascii="Times New Roman" w:hAnsi="Times New Roman" w:cs="Times New Roman"/>
          <w:b/>
          <w:sz w:val="24"/>
          <w:szCs w:val="24"/>
        </w:rPr>
        <w:t xml:space="preserve">f Agriculture, Abeokuta </w:t>
      </w:r>
      <w:r>
        <w:rPr>
          <w:rFonts w:ascii="Times New Roman" w:hAnsi="Times New Roman" w:cs="Times New Roman"/>
          <w:b/>
          <w:sz w:val="24"/>
          <w:szCs w:val="24"/>
        </w:rPr>
        <w:t>i</w:t>
      </w:r>
      <w:r w:rsidRPr="00A01135">
        <w:rPr>
          <w:rFonts w:ascii="Times New Roman" w:hAnsi="Times New Roman" w:cs="Times New Roman"/>
          <w:b/>
          <w:sz w:val="24"/>
          <w:szCs w:val="24"/>
        </w:rPr>
        <w:t xml:space="preserve">n </w:t>
      </w:r>
      <w:r>
        <w:rPr>
          <w:rFonts w:ascii="Times New Roman" w:hAnsi="Times New Roman" w:cs="Times New Roman"/>
          <w:b/>
          <w:sz w:val="24"/>
          <w:szCs w:val="24"/>
        </w:rPr>
        <w:t>p</w:t>
      </w:r>
      <w:r w:rsidRPr="00A01135">
        <w:rPr>
          <w:rFonts w:ascii="Times New Roman" w:hAnsi="Times New Roman" w:cs="Times New Roman"/>
          <w:b/>
          <w:sz w:val="24"/>
          <w:szCs w:val="24"/>
        </w:rPr>
        <w:t xml:space="preserve">artial </w:t>
      </w:r>
      <w:r>
        <w:rPr>
          <w:rFonts w:ascii="Times New Roman" w:hAnsi="Times New Roman" w:cs="Times New Roman"/>
          <w:b/>
          <w:sz w:val="24"/>
          <w:szCs w:val="24"/>
        </w:rPr>
        <w:t>f</w:t>
      </w:r>
      <w:r w:rsidRPr="00A01135">
        <w:rPr>
          <w:rFonts w:ascii="Times New Roman" w:hAnsi="Times New Roman" w:cs="Times New Roman"/>
          <w:b/>
          <w:sz w:val="24"/>
          <w:szCs w:val="24"/>
        </w:rPr>
        <w:t xml:space="preserve">ulfilment </w:t>
      </w:r>
      <w:r>
        <w:rPr>
          <w:rFonts w:ascii="Times New Roman" w:hAnsi="Times New Roman" w:cs="Times New Roman"/>
          <w:b/>
          <w:sz w:val="24"/>
          <w:szCs w:val="24"/>
        </w:rPr>
        <w:t>o</w:t>
      </w:r>
      <w:r w:rsidRPr="00A01135">
        <w:rPr>
          <w:rFonts w:ascii="Times New Roman" w:hAnsi="Times New Roman" w:cs="Times New Roman"/>
          <w:b/>
          <w:sz w:val="24"/>
          <w:szCs w:val="24"/>
        </w:rPr>
        <w:t xml:space="preserve">f </w:t>
      </w:r>
      <w:r>
        <w:rPr>
          <w:rFonts w:ascii="Times New Roman" w:hAnsi="Times New Roman" w:cs="Times New Roman"/>
          <w:b/>
          <w:sz w:val="24"/>
          <w:szCs w:val="24"/>
        </w:rPr>
        <w:t>t</w:t>
      </w:r>
      <w:r w:rsidRPr="00A01135">
        <w:rPr>
          <w:rFonts w:ascii="Times New Roman" w:hAnsi="Times New Roman" w:cs="Times New Roman"/>
          <w:b/>
          <w:sz w:val="24"/>
          <w:szCs w:val="24"/>
        </w:rPr>
        <w:t xml:space="preserve">he </w:t>
      </w:r>
      <w:r>
        <w:rPr>
          <w:rFonts w:ascii="Times New Roman" w:hAnsi="Times New Roman" w:cs="Times New Roman"/>
          <w:b/>
          <w:sz w:val="24"/>
          <w:szCs w:val="24"/>
        </w:rPr>
        <w:t>r</w:t>
      </w:r>
      <w:r w:rsidRPr="00A01135">
        <w:rPr>
          <w:rFonts w:ascii="Times New Roman" w:hAnsi="Times New Roman" w:cs="Times New Roman"/>
          <w:b/>
          <w:sz w:val="24"/>
          <w:szCs w:val="24"/>
        </w:rPr>
        <w:t xml:space="preserve">equirement </w:t>
      </w:r>
      <w:r>
        <w:rPr>
          <w:rFonts w:ascii="Times New Roman" w:hAnsi="Times New Roman" w:cs="Times New Roman"/>
          <w:b/>
          <w:sz w:val="24"/>
          <w:szCs w:val="24"/>
        </w:rPr>
        <w:t>f</w:t>
      </w:r>
      <w:r w:rsidRPr="00A01135">
        <w:rPr>
          <w:rFonts w:ascii="Times New Roman" w:hAnsi="Times New Roman" w:cs="Times New Roman"/>
          <w:b/>
          <w:sz w:val="24"/>
          <w:szCs w:val="24"/>
        </w:rPr>
        <w:t xml:space="preserve">or </w:t>
      </w:r>
      <w:r>
        <w:rPr>
          <w:rFonts w:ascii="Times New Roman" w:hAnsi="Times New Roman" w:cs="Times New Roman"/>
          <w:b/>
          <w:sz w:val="24"/>
          <w:szCs w:val="24"/>
        </w:rPr>
        <w:t>t</w:t>
      </w:r>
      <w:r w:rsidRPr="00A01135">
        <w:rPr>
          <w:rFonts w:ascii="Times New Roman" w:hAnsi="Times New Roman" w:cs="Times New Roman"/>
          <w:b/>
          <w:sz w:val="24"/>
          <w:szCs w:val="24"/>
        </w:rPr>
        <w:t xml:space="preserve">he </w:t>
      </w:r>
      <w:r>
        <w:rPr>
          <w:rFonts w:ascii="Times New Roman" w:hAnsi="Times New Roman" w:cs="Times New Roman"/>
          <w:b/>
          <w:sz w:val="24"/>
          <w:szCs w:val="24"/>
        </w:rPr>
        <w:t>a</w:t>
      </w:r>
      <w:r w:rsidRPr="00A01135">
        <w:rPr>
          <w:rFonts w:ascii="Times New Roman" w:hAnsi="Times New Roman" w:cs="Times New Roman"/>
          <w:b/>
          <w:sz w:val="24"/>
          <w:szCs w:val="24"/>
        </w:rPr>
        <w:t xml:space="preserve">ward </w:t>
      </w:r>
      <w:r>
        <w:rPr>
          <w:rFonts w:ascii="Times New Roman" w:hAnsi="Times New Roman" w:cs="Times New Roman"/>
          <w:b/>
          <w:sz w:val="24"/>
          <w:szCs w:val="24"/>
        </w:rPr>
        <w:t>o</w:t>
      </w:r>
      <w:r w:rsidRPr="00A01135">
        <w:rPr>
          <w:rFonts w:ascii="Times New Roman" w:hAnsi="Times New Roman" w:cs="Times New Roman"/>
          <w:b/>
          <w:sz w:val="24"/>
          <w:szCs w:val="24"/>
        </w:rPr>
        <w:t xml:space="preserve">f </w:t>
      </w:r>
      <w:r>
        <w:rPr>
          <w:rFonts w:ascii="Times New Roman" w:hAnsi="Times New Roman" w:cs="Times New Roman"/>
          <w:b/>
          <w:sz w:val="24"/>
          <w:szCs w:val="24"/>
        </w:rPr>
        <w:t>d</w:t>
      </w:r>
      <w:r w:rsidRPr="00A01135">
        <w:rPr>
          <w:rFonts w:ascii="Times New Roman" w:hAnsi="Times New Roman" w:cs="Times New Roman"/>
          <w:b/>
          <w:sz w:val="24"/>
          <w:szCs w:val="24"/>
        </w:rPr>
        <w:t xml:space="preserve">egree </w:t>
      </w:r>
      <w:r>
        <w:rPr>
          <w:rFonts w:ascii="Times New Roman" w:hAnsi="Times New Roman" w:cs="Times New Roman"/>
          <w:b/>
          <w:sz w:val="24"/>
          <w:szCs w:val="24"/>
        </w:rPr>
        <w:t>o</w:t>
      </w:r>
      <w:r w:rsidRPr="00A01135">
        <w:rPr>
          <w:rFonts w:ascii="Times New Roman" w:hAnsi="Times New Roman" w:cs="Times New Roman"/>
          <w:b/>
          <w:sz w:val="24"/>
          <w:szCs w:val="24"/>
        </w:rPr>
        <w:t xml:space="preserve">f Masters </w:t>
      </w:r>
      <w:r>
        <w:rPr>
          <w:rFonts w:ascii="Times New Roman" w:hAnsi="Times New Roman" w:cs="Times New Roman"/>
          <w:b/>
          <w:sz w:val="24"/>
          <w:szCs w:val="24"/>
        </w:rPr>
        <w:t>of</w:t>
      </w:r>
      <w:r w:rsidRPr="00A01135">
        <w:rPr>
          <w:rFonts w:ascii="Times New Roman" w:hAnsi="Times New Roman" w:cs="Times New Roman"/>
          <w:b/>
          <w:sz w:val="24"/>
          <w:szCs w:val="24"/>
        </w:rPr>
        <w:t xml:space="preserve"> Science (Nutrition </w:t>
      </w:r>
      <w:r>
        <w:rPr>
          <w:rFonts w:ascii="Times New Roman" w:hAnsi="Times New Roman" w:cs="Times New Roman"/>
          <w:b/>
          <w:sz w:val="24"/>
          <w:szCs w:val="24"/>
        </w:rPr>
        <w:t>a</w:t>
      </w:r>
      <w:r w:rsidRPr="00A01135">
        <w:rPr>
          <w:rFonts w:ascii="Times New Roman" w:hAnsi="Times New Roman" w:cs="Times New Roman"/>
          <w:b/>
          <w:sz w:val="24"/>
          <w:szCs w:val="24"/>
        </w:rPr>
        <w:t>nd Dietetics)</w:t>
      </w:r>
    </w:p>
    <w:p w:rsidR="00E666FF" w:rsidRDefault="00E666FF" w:rsidP="00E666FF">
      <w:pPr>
        <w:spacing w:line="480" w:lineRule="auto"/>
        <w:ind w:right="90"/>
        <w:jc w:val="center"/>
        <w:rPr>
          <w:rFonts w:ascii="Times New Roman" w:hAnsi="Times New Roman" w:cs="Times New Roman"/>
          <w:b/>
          <w:sz w:val="24"/>
          <w:szCs w:val="24"/>
        </w:rPr>
      </w:pPr>
    </w:p>
    <w:p w:rsidR="00E666FF" w:rsidRDefault="00E666FF" w:rsidP="00E666FF">
      <w:pPr>
        <w:spacing w:line="480" w:lineRule="auto"/>
        <w:ind w:right="90"/>
        <w:jc w:val="center"/>
        <w:rPr>
          <w:rFonts w:ascii="Times New Roman" w:hAnsi="Times New Roman" w:cs="Times New Roman"/>
          <w:b/>
          <w:sz w:val="24"/>
          <w:szCs w:val="24"/>
        </w:rPr>
      </w:pPr>
    </w:p>
    <w:p w:rsidR="00E666FF" w:rsidRPr="00A01135" w:rsidRDefault="00E666FF" w:rsidP="00E666FF">
      <w:pPr>
        <w:spacing w:line="480" w:lineRule="auto"/>
        <w:ind w:right="90"/>
        <w:jc w:val="center"/>
        <w:rPr>
          <w:rFonts w:ascii="Times New Roman" w:hAnsi="Times New Roman" w:cs="Times New Roman"/>
          <w:b/>
          <w:sz w:val="24"/>
          <w:szCs w:val="24"/>
        </w:rPr>
      </w:pPr>
      <w:r>
        <w:rPr>
          <w:rFonts w:ascii="Times New Roman" w:hAnsi="Times New Roman" w:cs="Times New Roman"/>
          <w:b/>
          <w:sz w:val="24"/>
          <w:szCs w:val="24"/>
        </w:rPr>
        <w:t>DECEMBER, 2024</w:t>
      </w:r>
    </w:p>
    <w:p w:rsidR="00E666FF" w:rsidRPr="00445506" w:rsidRDefault="00E666FF" w:rsidP="00E666FF">
      <w:pPr>
        <w:spacing w:line="480" w:lineRule="auto"/>
        <w:ind w:right="90"/>
        <w:jc w:val="center"/>
        <w:rPr>
          <w:rFonts w:ascii="Times New Roman" w:hAnsi="Times New Roman" w:cs="Times New Roman"/>
          <w:b/>
          <w:bCs/>
          <w:caps/>
          <w:sz w:val="24"/>
          <w:szCs w:val="24"/>
        </w:rPr>
      </w:pPr>
      <w:r w:rsidRPr="00445506">
        <w:rPr>
          <w:rFonts w:ascii="Times New Roman" w:hAnsi="Times New Roman" w:cs="Times New Roman"/>
          <w:b/>
          <w:bCs/>
          <w:caps/>
          <w:sz w:val="24"/>
          <w:szCs w:val="24"/>
        </w:rPr>
        <w:lastRenderedPageBreak/>
        <w:t>Abstract</w:t>
      </w:r>
    </w:p>
    <w:p w:rsidR="00E666FF" w:rsidRPr="00B05E10" w:rsidRDefault="00E666FF" w:rsidP="00E666FF">
      <w:pPr>
        <w:spacing w:line="480" w:lineRule="auto"/>
        <w:jc w:val="both"/>
        <w:rPr>
          <w:rFonts w:ascii="Times New Roman" w:hAnsi="Times New Roman" w:cs="Times New Roman"/>
          <w:sz w:val="24"/>
          <w:szCs w:val="24"/>
        </w:rPr>
      </w:pPr>
      <w:r w:rsidRPr="00B05E10">
        <w:rPr>
          <w:rFonts w:ascii="Times New Roman" w:hAnsi="Times New Roman" w:cs="Times New Roman"/>
          <w:sz w:val="24"/>
          <w:szCs w:val="24"/>
        </w:rPr>
        <w:t xml:space="preserve">Non-communicable diseases risk factors, such as obesity, hypertension, diabetes, and metabolic syndrome, have significantly increased worldwide, contributing to higher mortality rates. Identifying optimal dietary patterns for the prevention and management of diabetes in patients with co-existing hypertension has become a public health priority. This study was designed to assess the diet quality and nutritional status of patients with co-existence diabetes mellitus and hypertension attending selected hospitals in Abeokuta, </w:t>
      </w:r>
      <w:proofErr w:type="spellStart"/>
      <w:r w:rsidRPr="00B05E10">
        <w:rPr>
          <w:rFonts w:ascii="Times New Roman" w:hAnsi="Times New Roman" w:cs="Times New Roman"/>
          <w:sz w:val="24"/>
          <w:szCs w:val="24"/>
        </w:rPr>
        <w:t>Ogun</w:t>
      </w:r>
      <w:proofErr w:type="spellEnd"/>
      <w:r w:rsidRPr="00B05E10">
        <w:rPr>
          <w:rFonts w:ascii="Times New Roman" w:hAnsi="Times New Roman" w:cs="Times New Roman"/>
          <w:sz w:val="24"/>
          <w:szCs w:val="24"/>
        </w:rPr>
        <w:t xml:space="preserve"> State. A cross-sectional design was employed for the study. A total of 390 respondents were randomly selected from the Federal Medical Centre, Sacred Heart Hospital, and General Hospital </w:t>
      </w:r>
      <w:proofErr w:type="spellStart"/>
      <w:r w:rsidRPr="00B05E10">
        <w:rPr>
          <w:rFonts w:ascii="Times New Roman" w:hAnsi="Times New Roman" w:cs="Times New Roman"/>
          <w:sz w:val="24"/>
          <w:szCs w:val="24"/>
        </w:rPr>
        <w:t>Ijaiye</w:t>
      </w:r>
      <w:proofErr w:type="spellEnd"/>
      <w:r w:rsidRPr="00B05E10">
        <w:rPr>
          <w:rFonts w:ascii="Times New Roman" w:hAnsi="Times New Roman" w:cs="Times New Roman"/>
          <w:sz w:val="24"/>
          <w:szCs w:val="24"/>
        </w:rPr>
        <w:t xml:space="preserve"> in Abeokuta. A structured interviewer-administered questionnaire was used to collect data </w:t>
      </w:r>
      <w:r>
        <w:rPr>
          <w:rFonts w:ascii="Times New Roman" w:hAnsi="Times New Roman" w:cs="Times New Roman"/>
          <w:sz w:val="24"/>
          <w:szCs w:val="24"/>
        </w:rPr>
        <w:t>on</w:t>
      </w:r>
      <w:r w:rsidRPr="00B05E10">
        <w:rPr>
          <w:rFonts w:ascii="Times New Roman" w:hAnsi="Times New Roman" w:cs="Times New Roman"/>
          <w:sz w:val="24"/>
          <w:szCs w:val="24"/>
        </w:rPr>
        <w:t xml:space="preserve"> the res</w:t>
      </w:r>
      <w:r>
        <w:rPr>
          <w:rFonts w:ascii="Times New Roman" w:hAnsi="Times New Roman" w:cs="Times New Roman"/>
          <w:sz w:val="24"/>
          <w:szCs w:val="24"/>
        </w:rPr>
        <w:t>pondents’</w:t>
      </w:r>
      <w:r w:rsidRPr="00B05E10">
        <w:rPr>
          <w:rFonts w:ascii="Times New Roman" w:hAnsi="Times New Roman" w:cs="Times New Roman"/>
          <w:sz w:val="24"/>
          <w:szCs w:val="24"/>
        </w:rPr>
        <w:t xml:space="preserve"> socio-demographic and socio-economic characteristics</w:t>
      </w:r>
      <w:r>
        <w:rPr>
          <w:rFonts w:ascii="Times New Roman" w:hAnsi="Times New Roman" w:cs="Times New Roman"/>
          <w:sz w:val="24"/>
          <w:szCs w:val="24"/>
        </w:rPr>
        <w:t xml:space="preserve">, </w:t>
      </w:r>
      <w:r w:rsidRPr="00B05E10">
        <w:rPr>
          <w:rFonts w:ascii="Times New Roman" w:hAnsi="Times New Roman" w:cs="Times New Roman"/>
          <w:sz w:val="24"/>
          <w:szCs w:val="24"/>
        </w:rPr>
        <w:t xml:space="preserve">Anthropometric measurement was taken using standard procedures. Body Mass Index (BMI) and Waist-Hip ratio (WHR) were calculated following World Health Organisation protocol. Blood pressure (BP), Fasting Blood Glucose (FBG) and </w:t>
      </w:r>
      <w:proofErr w:type="spellStart"/>
      <w:r w:rsidRPr="00B05E10">
        <w:rPr>
          <w:rFonts w:ascii="Times New Roman" w:hAnsi="Times New Roman" w:cs="Times New Roman"/>
          <w:sz w:val="24"/>
          <w:szCs w:val="24"/>
        </w:rPr>
        <w:t>Glycated</w:t>
      </w:r>
      <w:proofErr w:type="spellEnd"/>
      <w:r w:rsidRPr="00B05E10">
        <w:rPr>
          <w:rFonts w:ascii="Times New Roman" w:hAnsi="Times New Roman" w:cs="Times New Roman"/>
          <w:sz w:val="24"/>
          <w:szCs w:val="24"/>
        </w:rPr>
        <w:t xml:space="preserve"> </w:t>
      </w:r>
      <w:proofErr w:type="spellStart"/>
      <w:r w:rsidRPr="00B05E10">
        <w:rPr>
          <w:rFonts w:ascii="Times New Roman" w:hAnsi="Times New Roman" w:cs="Times New Roman"/>
          <w:sz w:val="24"/>
          <w:szCs w:val="24"/>
        </w:rPr>
        <w:t>Hemoglobin</w:t>
      </w:r>
      <w:proofErr w:type="spellEnd"/>
      <w:r w:rsidRPr="00B05E10">
        <w:rPr>
          <w:rFonts w:ascii="Times New Roman" w:hAnsi="Times New Roman" w:cs="Times New Roman"/>
          <w:sz w:val="24"/>
          <w:szCs w:val="24"/>
        </w:rPr>
        <w:t xml:space="preserve"> (HbA1c) were determined using standard </w:t>
      </w:r>
      <w:r>
        <w:rPr>
          <w:rFonts w:ascii="Times New Roman" w:hAnsi="Times New Roman" w:cs="Times New Roman"/>
          <w:sz w:val="24"/>
          <w:szCs w:val="24"/>
        </w:rPr>
        <w:t xml:space="preserve">clinical </w:t>
      </w:r>
      <w:r w:rsidRPr="00B05E10">
        <w:rPr>
          <w:rFonts w:ascii="Times New Roman" w:hAnsi="Times New Roman" w:cs="Times New Roman"/>
          <w:sz w:val="24"/>
          <w:szCs w:val="24"/>
        </w:rPr>
        <w:t>labora</w:t>
      </w:r>
      <w:r>
        <w:rPr>
          <w:rFonts w:ascii="Times New Roman" w:hAnsi="Times New Roman" w:cs="Times New Roman"/>
          <w:sz w:val="24"/>
          <w:szCs w:val="24"/>
        </w:rPr>
        <w:t>tory</w:t>
      </w:r>
      <w:r w:rsidRPr="00B05E10">
        <w:rPr>
          <w:rFonts w:ascii="Times New Roman" w:hAnsi="Times New Roman" w:cs="Times New Roman"/>
          <w:sz w:val="24"/>
          <w:szCs w:val="24"/>
        </w:rPr>
        <w:t>. Dietary intake was assessed using 24-hour</w:t>
      </w:r>
      <w:r>
        <w:rPr>
          <w:rFonts w:ascii="Times New Roman" w:hAnsi="Times New Roman" w:cs="Times New Roman"/>
          <w:sz w:val="24"/>
          <w:szCs w:val="24"/>
        </w:rPr>
        <w:t xml:space="preserve"> recall and analys</w:t>
      </w:r>
      <w:r w:rsidRPr="00B05E10">
        <w:rPr>
          <w:rFonts w:ascii="Times New Roman" w:hAnsi="Times New Roman" w:cs="Times New Roman"/>
          <w:sz w:val="24"/>
          <w:szCs w:val="24"/>
        </w:rPr>
        <w:t xml:space="preserve">ed to determine nutrients intake and diet diversity. Adequacy of </w:t>
      </w:r>
      <w:r>
        <w:rPr>
          <w:rFonts w:ascii="Times New Roman" w:hAnsi="Times New Roman" w:cs="Times New Roman"/>
          <w:sz w:val="24"/>
          <w:szCs w:val="24"/>
        </w:rPr>
        <w:t xml:space="preserve">the </w:t>
      </w:r>
      <w:r w:rsidRPr="00B05E10">
        <w:rPr>
          <w:rFonts w:ascii="Times New Roman" w:hAnsi="Times New Roman" w:cs="Times New Roman"/>
          <w:sz w:val="24"/>
          <w:szCs w:val="24"/>
        </w:rPr>
        <w:t xml:space="preserve">nutrient </w:t>
      </w:r>
      <w:r>
        <w:rPr>
          <w:rFonts w:ascii="Times New Roman" w:hAnsi="Times New Roman" w:cs="Times New Roman"/>
          <w:sz w:val="24"/>
          <w:szCs w:val="24"/>
        </w:rPr>
        <w:t>was</w:t>
      </w:r>
      <w:r w:rsidRPr="00B05E10">
        <w:rPr>
          <w:rFonts w:ascii="Times New Roman" w:hAnsi="Times New Roman" w:cs="Times New Roman"/>
          <w:sz w:val="24"/>
          <w:szCs w:val="24"/>
        </w:rPr>
        <w:t xml:space="preserve"> calculated by comparing </w:t>
      </w:r>
      <w:r>
        <w:rPr>
          <w:rFonts w:ascii="Times New Roman" w:hAnsi="Times New Roman" w:cs="Times New Roman"/>
          <w:sz w:val="24"/>
          <w:szCs w:val="24"/>
        </w:rPr>
        <w:t xml:space="preserve">the nutrient </w:t>
      </w:r>
      <w:r w:rsidRPr="00B05E10">
        <w:rPr>
          <w:rFonts w:ascii="Times New Roman" w:hAnsi="Times New Roman" w:cs="Times New Roman"/>
          <w:sz w:val="24"/>
          <w:szCs w:val="24"/>
        </w:rPr>
        <w:t>intakes with recommended dietary allowance. Diet Quality Index-International (DQI-I) questionnaire was used to assess diet quality and categorized as low (&lt; 35), average (35-70) and high (</w:t>
      </w:r>
      <w:r w:rsidRPr="00B05E10">
        <w:rPr>
          <w:rFonts w:ascii="Times New Roman" w:eastAsia="SimSun" w:hAnsi="Times New Roman" w:cs="Times New Roman"/>
          <w:sz w:val="24"/>
          <w:szCs w:val="24"/>
        </w:rPr>
        <w:t>≥</w:t>
      </w:r>
      <w:r w:rsidRPr="00B05E10">
        <w:rPr>
          <w:rFonts w:ascii="Times New Roman" w:hAnsi="Times New Roman" w:cs="Times New Roman"/>
          <w:sz w:val="24"/>
          <w:szCs w:val="24"/>
        </w:rPr>
        <w:t xml:space="preserve"> 70). Data were analysed using frequency, mean, median, </w:t>
      </w:r>
      <w:proofErr w:type="spellStart"/>
      <w:r w:rsidRPr="00B05E10">
        <w:rPr>
          <w:rFonts w:ascii="Times New Roman" w:hAnsi="Times New Roman" w:cs="Times New Roman"/>
          <w:sz w:val="24"/>
          <w:szCs w:val="24"/>
        </w:rPr>
        <w:t>interquartile</w:t>
      </w:r>
      <w:proofErr w:type="spellEnd"/>
      <w:r>
        <w:rPr>
          <w:rFonts w:ascii="Times New Roman" w:hAnsi="Times New Roman" w:cs="Times New Roman"/>
          <w:sz w:val="24"/>
          <w:szCs w:val="24"/>
        </w:rPr>
        <w:t xml:space="preserve"> range</w:t>
      </w:r>
      <w:r w:rsidRPr="00B05E10">
        <w:rPr>
          <w:rFonts w:ascii="Times New Roman" w:hAnsi="Times New Roman" w:cs="Times New Roman"/>
          <w:sz w:val="24"/>
          <w:szCs w:val="24"/>
        </w:rPr>
        <w:t>,</w:t>
      </w:r>
      <w:r>
        <w:rPr>
          <w:rFonts w:ascii="Times New Roman" w:hAnsi="Times New Roman" w:cs="Times New Roman"/>
          <w:sz w:val="24"/>
          <w:szCs w:val="24"/>
        </w:rPr>
        <w:t xml:space="preserve"> standard deviation,</w:t>
      </w:r>
      <w:r w:rsidRPr="00B05E10">
        <w:rPr>
          <w:rFonts w:ascii="Times New Roman" w:hAnsi="Times New Roman" w:cs="Times New Roman"/>
          <w:sz w:val="24"/>
          <w:szCs w:val="24"/>
        </w:rPr>
        <w:t xml:space="preserve"> percentages, Chi-square, analysis of variance and Pearson’s correlation were used to examine relationship between variables at p &lt; 0.05.  Result</w:t>
      </w:r>
      <w:r>
        <w:rPr>
          <w:rFonts w:ascii="Times New Roman" w:hAnsi="Times New Roman" w:cs="Times New Roman"/>
          <w:sz w:val="24"/>
          <w:szCs w:val="24"/>
        </w:rPr>
        <w:t>s</w:t>
      </w:r>
      <w:r w:rsidRPr="00B05E10">
        <w:rPr>
          <w:rFonts w:ascii="Times New Roman" w:hAnsi="Times New Roman" w:cs="Times New Roman"/>
          <w:sz w:val="24"/>
          <w:szCs w:val="24"/>
        </w:rPr>
        <w:t xml:space="preserve"> showed that</w:t>
      </w:r>
      <w:r>
        <w:rPr>
          <w:rFonts w:ascii="Times New Roman" w:hAnsi="Times New Roman" w:cs="Times New Roman"/>
          <w:sz w:val="24"/>
          <w:szCs w:val="24"/>
        </w:rPr>
        <w:t xml:space="preserve"> 69.92% of respondents were female, majority (</w:t>
      </w:r>
      <w:r w:rsidRPr="00B05E10">
        <w:rPr>
          <w:rFonts w:ascii="Times New Roman" w:hAnsi="Times New Roman" w:cs="Times New Roman"/>
          <w:sz w:val="24"/>
          <w:szCs w:val="24"/>
        </w:rPr>
        <w:t>79.59%</w:t>
      </w:r>
      <w:r>
        <w:rPr>
          <w:rFonts w:ascii="Times New Roman" w:hAnsi="Times New Roman" w:cs="Times New Roman"/>
          <w:sz w:val="24"/>
          <w:szCs w:val="24"/>
        </w:rPr>
        <w:t>)</w:t>
      </w:r>
      <w:r w:rsidRPr="00B05E10">
        <w:rPr>
          <w:rFonts w:ascii="Times New Roman" w:hAnsi="Times New Roman" w:cs="Times New Roman"/>
          <w:sz w:val="24"/>
          <w:szCs w:val="24"/>
        </w:rPr>
        <w:t xml:space="preserve"> of respondents lived in urban areas, </w:t>
      </w:r>
      <w:proofErr w:type="gramStart"/>
      <w:r w:rsidRPr="00B05E10">
        <w:rPr>
          <w:rFonts w:ascii="Times New Roman" w:hAnsi="Times New Roman" w:cs="Times New Roman"/>
          <w:sz w:val="24"/>
          <w:szCs w:val="24"/>
        </w:rPr>
        <w:t>31.06</w:t>
      </w:r>
      <w:proofErr w:type="gramEnd"/>
      <w:r w:rsidRPr="00B05E10">
        <w:rPr>
          <w:rFonts w:ascii="Times New Roman" w:hAnsi="Times New Roman" w:cs="Times New Roman"/>
          <w:sz w:val="24"/>
          <w:szCs w:val="24"/>
        </w:rPr>
        <w:t xml:space="preserve">% were within the </w:t>
      </w:r>
      <w:r>
        <w:rPr>
          <w:rFonts w:ascii="Times New Roman" w:hAnsi="Times New Roman" w:cs="Times New Roman"/>
          <w:sz w:val="24"/>
          <w:szCs w:val="24"/>
        </w:rPr>
        <w:t xml:space="preserve">average </w:t>
      </w:r>
      <w:r w:rsidRPr="00B05E10">
        <w:rPr>
          <w:rFonts w:ascii="Times New Roman" w:hAnsi="Times New Roman" w:cs="Times New Roman"/>
          <w:sz w:val="24"/>
          <w:szCs w:val="24"/>
        </w:rPr>
        <w:t>age range</w:t>
      </w:r>
      <w:r>
        <w:rPr>
          <w:rFonts w:ascii="Times New Roman" w:hAnsi="Times New Roman" w:cs="Times New Roman"/>
          <w:sz w:val="24"/>
          <w:szCs w:val="24"/>
        </w:rPr>
        <w:t xml:space="preserve"> of </w:t>
      </w:r>
      <w:r w:rsidRPr="00B05E10">
        <w:rPr>
          <w:rFonts w:ascii="Times New Roman" w:hAnsi="Times New Roman" w:cs="Times New Roman"/>
          <w:sz w:val="24"/>
          <w:szCs w:val="24"/>
        </w:rPr>
        <w:t xml:space="preserve">55-64 years. About 53.82% had tertiary education, and 19.64% earned within </w:t>
      </w:r>
      <w:r w:rsidRPr="00B05E10">
        <w:rPr>
          <w:rFonts w:ascii="Times New Roman" w:hAnsi="Times New Roman" w:cs="Times New Roman"/>
          <w:sz w:val="24"/>
          <w:szCs w:val="24"/>
        </w:rPr>
        <w:lastRenderedPageBreak/>
        <w:t>₦50,001 - ₦100,000 monthly. The prevalence of overweight and obesity were 27.74% and 3.25%,</w:t>
      </w:r>
      <w:r>
        <w:rPr>
          <w:rFonts w:ascii="Times New Roman" w:hAnsi="Times New Roman" w:cs="Times New Roman"/>
          <w:sz w:val="24"/>
          <w:szCs w:val="24"/>
        </w:rPr>
        <w:t xml:space="preserve"> respectively, the mean WHR was 0.94</w:t>
      </w:r>
      <w:r w:rsidRPr="00B05E10">
        <w:rPr>
          <w:rFonts w:ascii="Times New Roman" w:hAnsi="Times New Roman" w:cs="Times New Roman"/>
          <w:sz w:val="24"/>
          <w:szCs w:val="24"/>
        </w:rPr>
        <w:t>±</w:t>
      </w:r>
      <w:r>
        <w:rPr>
          <w:rFonts w:ascii="Times New Roman" w:hAnsi="Times New Roman" w:cs="Times New Roman"/>
          <w:sz w:val="24"/>
          <w:szCs w:val="24"/>
        </w:rPr>
        <w:t>0.26 and the mean BP was 127/80. The mean FBG and HbA1</w:t>
      </w:r>
      <w:r w:rsidRPr="00B86BDC">
        <w:rPr>
          <w:rFonts w:ascii="Times New Roman" w:hAnsi="Times New Roman" w:cs="Times New Roman"/>
          <w:sz w:val="24"/>
          <w:szCs w:val="24"/>
          <w:vertAlign w:val="subscript"/>
        </w:rPr>
        <w:t>C</w:t>
      </w:r>
      <w:r>
        <w:rPr>
          <w:rFonts w:ascii="Times New Roman" w:hAnsi="Times New Roman" w:cs="Times New Roman"/>
          <w:sz w:val="24"/>
          <w:szCs w:val="24"/>
        </w:rPr>
        <w:t xml:space="preserve"> were 131.61</w:t>
      </w:r>
      <w:r w:rsidRPr="00B05E10">
        <w:rPr>
          <w:rFonts w:ascii="Times New Roman" w:hAnsi="Times New Roman" w:cs="Times New Roman"/>
          <w:sz w:val="24"/>
          <w:szCs w:val="24"/>
        </w:rPr>
        <w:t>±</w:t>
      </w:r>
      <w:r>
        <w:rPr>
          <w:rFonts w:ascii="Times New Roman" w:hAnsi="Times New Roman" w:cs="Times New Roman"/>
          <w:sz w:val="24"/>
          <w:szCs w:val="24"/>
        </w:rPr>
        <w:t>56.78 and 10.02</w:t>
      </w:r>
      <w:r w:rsidRPr="00B05E10">
        <w:rPr>
          <w:rFonts w:ascii="Times New Roman" w:hAnsi="Times New Roman" w:cs="Times New Roman"/>
          <w:sz w:val="24"/>
          <w:szCs w:val="24"/>
        </w:rPr>
        <w:t>±</w:t>
      </w:r>
      <w:r>
        <w:rPr>
          <w:rFonts w:ascii="Times New Roman" w:hAnsi="Times New Roman" w:cs="Times New Roman"/>
          <w:sz w:val="24"/>
          <w:szCs w:val="24"/>
        </w:rPr>
        <w:t xml:space="preserve">3.34 respectively. </w:t>
      </w:r>
      <w:r w:rsidRPr="00B05E10">
        <w:rPr>
          <w:rFonts w:ascii="Times New Roman" w:hAnsi="Times New Roman" w:cs="Times New Roman"/>
          <w:sz w:val="24"/>
          <w:szCs w:val="24"/>
        </w:rPr>
        <w:t>The mean WHR and BP were higher in males (0.95 ± 0.29; 132/81 mmHg) compared to females (0.93 ± 0.24; 126/79 mmHg). The mean FBG level was higher in females (71%) compared to males (29%). About 79.39% of respondents had a high dietary diversity. The best DQI score was adequacy (17.92±7.02), and weakest was overall balance (5.48±1.38). Generally, respondents had inadequate macronutrients intake. However, almost two-third of the males and females had excess carbohydrate intake. Most of the respondents had inadequate intakes of micronutrients. However, vitamins A, B</w:t>
      </w:r>
      <w:r w:rsidRPr="00B05E10">
        <w:rPr>
          <w:rFonts w:ascii="Times New Roman" w:hAnsi="Times New Roman" w:cs="Times New Roman"/>
          <w:sz w:val="24"/>
          <w:szCs w:val="24"/>
          <w:vertAlign w:val="subscript"/>
        </w:rPr>
        <w:t>3</w:t>
      </w:r>
      <w:r w:rsidRPr="00B05E10">
        <w:rPr>
          <w:rFonts w:ascii="Times New Roman" w:hAnsi="Times New Roman" w:cs="Times New Roman"/>
          <w:sz w:val="24"/>
          <w:szCs w:val="24"/>
        </w:rPr>
        <w:t xml:space="preserve"> and B</w:t>
      </w:r>
      <w:r w:rsidRPr="00B05E10">
        <w:rPr>
          <w:rFonts w:ascii="Times New Roman" w:hAnsi="Times New Roman" w:cs="Times New Roman"/>
          <w:sz w:val="24"/>
          <w:szCs w:val="24"/>
          <w:vertAlign w:val="subscript"/>
        </w:rPr>
        <w:t>12</w:t>
      </w:r>
      <w:r w:rsidRPr="00B05E10">
        <w:rPr>
          <w:rFonts w:ascii="Times New Roman" w:hAnsi="Times New Roman" w:cs="Times New Roman"/>
          <w:sz w:val="24"/>
          <w:szCs w:val="24"/>
        </w:rPr>
        <w:t xml:space="preserve">, and Iron intake were excess in </w:t>
      </w:r>
      <w:proofErr w:type="spellStart"/>
      <w:r w:rsidRPr="00B05E10">
        <w:rPr>
          <w:rFonts w:ascii="Times New Roman" w:hAnsi="Times New Roman" w:cs="Times New Roman"/>
          <w:sz w:val="24"/>
          <w:szCs w:val="24"/>
        </w:rPr>
        <w:t>males.A</w:t>
      </w:r>
      <w:proofErr w:type="spellEnd"/>
      <w:r w:rsidRPr="00B05E10">
        <w:rPr>
          <w:rFonts w:ascii="Times New Roman" w:hAnsi="Times New Roman" w:cs="Times New Roman"/>
          <w:sz w:val="24"/>
          <w:szCs w:val="24"/>
        </w:rPr>
        <w:t xml:space="preserve"> significant (p</w:t>
      </w:r>
      <w:r>
        <w:rPr>
          <w:rFonts w:ascii="Times New Roman" w:hAnsi="Times New Roman" w:cs="Times New Roman"/>
          <w:sz w:val="24"/>
          <w:szCs w:val="24"/>
        </w:rPr>
        <w:t xml:space="preserve"> ≤ 0.03</w:t>
      </w:r>
      <w:r w:rsidRPr="00B05E10">
        <w:rPr>
          <w:rFonts w:ascii="Times New Roman" w:hAnsi="Times New Roman" w:cs="Times New Roman"/>
          <w:sz w:val="24"/>
          <w:szCs w:val="24"/>
        </w:rPr>
        <w:t>) a</w:t>
      </w:r>
      <w:r>
        <w:rPr>
          <w:rFonts w:ascii="Times New Roman" w:hAnsi="Times New Roman" w:cs="Times New Roman"/>
          <w:sz w:val="24"/>
          <w:szCs w:val="24"/>
        </w:rPr>
        <w:t>ssociation was found between BP</w:t>
      </w:r>
      <w:r w:rsidRPr="00B05E10">
        <w:rPr>
          <w:rFonts w:ascii="Times New Roman" w:hAnsi="Times New Roman" w:cs="Times New Roman"/>
          <w:sz w:val="24"/>
          <w:szCs w:val="24"/>
        </w:rPr>
        <w:t xml:space="preserve"> and </w:t>
      </w:r>
      <w:r>
        <w:rPr>
          <w:rFonts w:ascii="Times New Roman" w:hAnsi="Times New Roman" w:cs="Times New Roman"/>
          <w:sz w:val="24"/>
          <w:szCs w:val="24"/>
        </w:rPr>
        <w:t xml:space="preserve">DQI, FBG was significantly (p=0.02, r= -0.13) correlated with IDDS. </w:t>
      </w:r>
      <w:r w:rsidRPr="00B05E10">
        <w:rPr>
          <w:rFonts w:ascii="Times New Roman" w:hAnsi="Times New Roman" w:cs="Times New Roman"/>
          <w:sz w:val="24"/>
          <w:szCs w:val="24"/>
        </w:rPr>
        <w:t xml:space="preserve">The DQI was significantly (p ≤ 0.05) associated with BMI and WHR. Unhealthy dietary intakes were observed and low diet quality was prevalent among the respondents. Dietary intervention to promote adequate nutrient intakes and diversity is essential to improve the nutritional status of patients with co-existence of diabetes and hypertension. </w:t>
      </w:r>
    </w:p>
    <w:p w:rsidR="00E666FF" w:rsidRDefault="00E666FF" w:rsidP="00E666FF">
      <w:pPr>
        <w:spacing w:line="480" w:lineRule="auto"/>
        <w:ind w:right="90"/>
        <w:rPr>
          <w:rFonts w:ascii="Times New Roman" w:hAnsi="Times New Roman" w:cs="Times New Roman"/>
          <w:b/>
          <w:bCs/>
          <w:color w:val="000000" w:themeColor="text1"/>
          <w:sz w:val="24"/>
          <w:szCs w:val="24"/>
        </w:rPr>
      </w:pPr>
    </w:p>
    <w:p w:rsidR="00E666FF" w:rsidRDefault="00E666FF" w:rsidP="00E666FF">
      <w:pPr>
        <w:spacing w:line="480" w:lineRule="auto"/>
        <w:ind w:right="90"/>
        <w:rPr>
          <w:rFonts w:ascii="Times New Roman" w:hAnsi="Times New Roman" w:cs="Times New Roman"/>
          <w:b/>
          <w:bCs/>
          <w:color w:val="000000" w:themeColor="text1"/>
          <w:sz w:val="24"/>
          <w:szCs w:val="24"/>
        </w:rPr>
      </w:pPr>
    </w:p>
    <w:p w:rsidR="00BC1C2D" w:rsidRDefault="00BC1C2D"/>
    <w:sectPr w:rsidR="00BC1C2D" w:rsidSect="00BC1C2D">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9"/>
  <w:proofState w:spelling="clean" w:grammar="clean"/>
  <w:defaultTabStop w:val="720"/>
  <w:characterSpacingControl w:val="doNotCompress"/>
  <w:compat/>
  <w:rsids>
    <w:rsidRoot w:val="00E666FF"/>
    <w:rsid w:val="00BC1C2D"/>
    <w:rsid w:val="00E666FF"/>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666FF"/>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574</Words>
  <Characters>3275</Characters>
  <Application>Microsoft Office Word</Application>
  <DocSecurity>0</DocSecurity>
  <Lines>27</Lines>
  <Paragraphs>7</Paragraphs>
  <ScaleCrop>false</ScaleCrop>
  <Company/>
  <LinksUpToDate>false</LinksUpToDate>
  <CharactersWithSpaces>3842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2025-12-04T09:26:00Z</dcterms:created>
  <dcterms:modified xsi:type="dcterms:W3CDTF">2025-12-04T09:26:00Z</dcterms:modified>
</cp:coreProperties>
</file>