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58CA" w:rsidRDefault="000958CA" w:rsidP="000958CA">
      <w:pPr>
        <w:spacing w:line="360" w:lineRule="auto"/>
        <w:jc w:val="center"/>
        <w:rPr>
          <w:rFonts w:eastAsia="Calibri"/>
          <w:b/>
        </w:rPr>
      </w:pPr>
      <w:r>
        <w:rPr>
          <w:rFonts w:eastAsia="Calibri"/>
          <w:b/>
        </w:rPr>
        <w:t>DIETARY SUPPLEMENTATION AND COUNSELLING INTERVENTIONS ON INSULIN RESISTANCE, TRACE ELEMENTS AND ANTIOXIDANT VITAMINS LEVELS IN TYPE 2 DIABETIC SUBJECTS IN OGUN STATE NIGERIA</w:t>
      </w:r>
    </w:p>
    <w:p w:rsidR="000958CA" w:rsidRPr="000958CA" w:rsidRDefault="000958CA" w:rsidP="000958CA">
      <w:pPr>
        <w:spacing w:line="360" w:lineRule="auto"/>
        <w:jc w:val="center"/>
        <w:rPr>
          <w:rFonts w:eastAsia="Calibri"/>
          <w:b/>
        </w:rPr>
      </w:pPr>
      <w:r>
        <w:rPr>
          <w:rFonts w:eastAsia="Calibri"/>
          <w:b/>
        </w:rPr>
        <w:t xml:space="preserve"> </w:t>
      </w:r>
    </w:p>
    <w:p w:rsidR="000958CA" w:rsidRDefault="000958CA" w:rsidP="000958CA">
      <w:pPr>
        <w:jc w:val="center"/>
        <w:rPr>
          <w:rFonts w:eastAsia="Calibri"/>
          <w:b/>
          <w:bCs/>
        </w:rPr>
      </w:pPr>
      <w:r>
        <w:rPr>
          <w:rFonts w:eastAsia="Calibri"/>
          <w:b/>
          <w:bCs/>
        </w:rPr>
        <w:t xml:space="preserve"> </w:t>
      </w:r>
    </w:p>
    <w:p w:rsidR="000958CA" w:rsidRDefault="000958CA" w:rsidP="000958CA">
      <w:pPr>
        <w:jc w:val="center"/>
        <w:rPr>
          <w:rFonts w:eastAsia="Calibri"/>
          <w:b/>
          <w:bCs/>
          <w:caps/>
        </w:rPr>
      </w:pPr>
      <w:r>
        <w:rPr>
          <w:rFonts w:eastAsia="Calibri"/>
          <w:b/>
          <w:bCs/>
          <w:caps/>
        </w:rPr>
        <w:t>By</w:t>
      </w:r>
    </w:p>
    <w:p w:rsidR="000958CA" w:rsidRDefault="000958CA" w:rsidP="000958CA">
      <w:pPr>
        <w:jc w:val="center"/>
        <w:rPr>
          <w:rFonts w:eastAsia="Calibri"/>
          <w:b/>
          <w:bCs/>
        </w:rPr>
      </w:pPr>
      <w:r>
        <w:rPr>
          <w:rFonts w:eastAsia="Calibri"/>
          <w:b/>
          <w:bCs/>
        </w:rPr>
        <w:t xml:space="preserve"> </w:t>
      </w:r>
    </w:p>
    <w:p w:rsidR="000958CA" w:rsidRDefault="000958CA" w:rsidP="000958CA">
      <w:pPr>
        <w:jc w:val="center"/>
        <w:rPr>
          <w:rFonts w:eastAsia="Calibri"/>
          <w:b/>
          <w:bCs/>
        </w:rPr>
      </w:pPr>
      <w:r>
        <w:rPr>
          <w:rFonts w:eastAsia="Calibri"/>
          <w:b/>
          <w:bCs/>
        </w:rPr>
        <w:t xml:space="preserve"> </w:t>
      </w:r>
    </w:p>
    <w:p w:rsidR="000958CA" w:rsidRDefault="000958CA" w:rsidP="000958CA">
      <w:pPr>
        <w:jc w:val="center"/>
        <w:rPr>
          <w:rFonts w:eastAsia="Calibri"/>
          <w:b/>
          <w:color w:val="000000"/>
        </w:rPr>
      </w:pPr>
      <w:r>
        <w:rPr>
          <w:rFonts w:eastAsia="Calibri"/>
          <w:b/>
          <w:bCs/>
          <w:color w:val="000000"/>
        </w:rPr>
        <w:t>ADEYEMI, YETUNDE ADERONKE</w:t>
      </w:r>
    </w:p>
    <w:p w:rsidR="000958CA" w:rsidRDefault="000958CA" w:rsidP="000958CA">
      <w:pPr>
        <w:jc w:val="center"/>
        <w:rPr>
          <w:rFonts w:eastAsia="Calibri"/>
          <w:b/>
          <w:color w:val="000000"/>
        </w:rPr>
      </w:pPr>
      <w:r>
        <w:rPr>
          <w:rFonts w:eastAsia="Calibri"/>
          <w:b/>
          <w:bCs/>
          <w:iCs/>
          <w:color w:val="000000"/>
        </w:rPr>
        <w:t>(PG 15/0163)</w:t>
      </w:r>
    </w:p>
    <w:p w:rsidR="000958CA" w:rsidRDefault="000958CA" w:rsidP="000958CA">
      <w:pPr>
        <w:jc w:val="center"/>
        <w:rPr>
          <w:rFonts w:eastAsia="Calibri"/>
          <w:b/>
        </w:rPr>
      </w:pPr>
      <w:r>
        <w:rPr>
          <w:rFonts w:eastAsia="Calibri"/>
          <w:b/>
        </w:rPr>
        <w:t xml:space="preserve">  </w:t>
      </w:r>
    </w:p>
    <w:p w:rsidR="000958CA" w:rsidRDefault="000958CA" w:rsidP="000958CA">
      <w:pPr>
        <w:jc w:val="center"/>
        <w:rPr>
          <w:rFonts w:eastAsia="Calibri"/>
          <w:b/>
        </w:rPr>
      </w:pPr>
      <w:r>
        <w:rPr>
          <w:rFonts w:eastAsia="Calibri"/>
          <w:b/>
        </w:rPr>
        <w:t xml:space="preserve"> </w:t>
      </w:r>
    </w:p>
    <w:p w:rsidR="000958CA" w:rsidRDefault="000958CA" w:rsidP="000958CA">
      <w:pPr>
        <w:jc w:val="center"/>
        <w:rPr>
          <w:rFonts w:eastAsia="Calibri"/>
          <w:b/>
        </w:rPr>
      </w:pPr>
      <w:r>
        <w:rPr>
          <w:rFonts w:eastAsia="Calibri"/>
          <w:b/>
        </w:rPr>
        <w:t xml:space="preserve">A Thesis Submitted to the Department of Nutrition and Dietetics, College of Food Science and Human Ecology, Federal University of Agriculture, Abeokuta in partial </w:t>
      </w:r>
      <w:proofErr w:type="spellStart"/>
      <w:r>
        <w:rPr>
          <w:rFonts w:eastAsia="Calibri"/>
          <w:b/>
        </w:rPr>
        <w:t>fulfilment</w:t>
      </w:r>
      <w:proofErr w:type="spellEnd"/>
      <w:r>
        <w:rPr>
          <w:rFonts w:eastAsia="Calibri"/>
          <w:b/>
        </w:rPr>
        <w:t xml:space="preserve"> of the requirement for the award of degree of Doctor of Philosophy (Nutrition and Dietetics)</w:t>
      </w:r>
    </w:p>
    <w:p w:rsidR="000958CA" w:rsidRDefault="000958CA" w:rsidP="000958CA">
      <w:pPr>
        <w:jc w:val="center"/>
        <w:rPr>
          <w:rFonts w:eastAsia="Calibri"/>
          <w:b/>
        </w:rPr>
      </w:pPr>
      <w:r>
        <w:rPr>
          <w:rFonts w:eastAsia="Calibri"/>
          <w:b/>
        </w:rPr>
        <w:t xml:space="preserve"> </w:t>
      </w:r>
    </w:p>
    <w:p w:rsidR="000958CA" w:rsidRDefault="000958CA" w:rsidP="000958CA">
      <w:pPr>
        <w:jc w:val="center"/>
        <w:rPr>
          <w:rFonts w:eastAsia="Calibri"/>
          <w:b/>
        </w:rPr>
      </w:pPr>
      <w:r>
        <w:rPr>
          <w:rFonts w:eastAsia="Calibri"/>
          <w:b/>
        </w:rPr>
        <w:t xml:space="preserve"> </w:t>
      </w:r>
    </w:p>
    <w:p w:rsidR="000958CA" w:rsidRDefault="000958CA" w:rsidP="000958CA">
      <w:pPr>
        <w:jc w:val="center"/>
        <w:rPr>
          <w:rFonts w:eastAsia="Calibri"/>
          <w:b/>
        </w:rPr>
      </w:pPr>
      <w:r>
        <w:rPr>
          <w:rFonts w:eastAsia="Calibri"/>
          <w:b/>
        </w:rPr>
        <w:t>October, 2023</w:t>
      </w:r>
    </w:p>
    <w:p w:rsidR="000958CA" w:rsidRDefault="000958CA" w:rsidP="000958CA">
      <w:pPr>
        <w:spacing w:after="0"/>
        <w:contextualSpacing/>
        <w:jc w:val="center"/>
        <w:rPr>
          <w:b/>
          <w:bCs/>
          <w:caps/>
          <w:color w:val="000000"/>
          <w:shd w:val="clear" w:color="auto" w:fill="FFFFFF"/>
        </w:rPr>
      </w:pPr>
      <w:r>
        <w:rPr>
          <w:b/>
          <w:bCs/>
          <w:caps/>
          <w:color w:val="000000"/>
          <w:shd w:val="clear" w:color="auto" w:fill="FFFFFF"/>
        </w:rPr>
        <w:lastRenderedPageBreak/>
        <w:t>Abstract</w:t>
      </w:r>
    </w:p>
    <w:p w:rsidR="000958CA" w:rsidRDefault="000958CA" w:rsidP="000958CA">
      <w:pPr>
        <w:spacing w:after="0"/>
        <w:contextualSpacing/>
        <w:rPr>
          <w:rFonts w:eastAsia="Calibri"/>
        </w:rPr>
      </w:pPr>
      <w:r>
        <w:rPr>
          <w:color w:val="000000"/>
          <w:shd w:val="clear" w:color="auto" w:fill="FFFFFF"/>
        </w:rPr>
        <w:t xml:space="preserve">Type 2 diabetes mellitus (T2DM) is one of the most widespread </w:t>
      </w:r>
      <w:proofErr w:type="spellStart"/>
      <w:r>
        <w:rPr>
          <w:color w:val="000000"/>
          <w:shd w:val="clear" w:color="auto" w:fill="FFFFFF"/>
        </w:rPr>
        <w:t>endocrinological</w:t>
      </w:r>
      <w:proofErr w:type="spellEnd"/>
      <w:r>
        <w:rPr>
          <w:color w:val="000000"/>
          <w:shd w:val="clear" w:color="auto" w:fill="FFFFFF"/>
        </w:rPr>
        <w:t xml:space="preserve"> diseases in the general population and especially among hospitalized subjects. Studies have shown that diabetic subjects have micronutrient deficiencies. Hence, the </w:t>
      </w:r>
      <w:proofErr w:type="gramStart"/>
      <w:r>
        <w:rPr>
          <w:color w:val="000000"/>
          <w:shd w:val="clear" w:color="auto" w:fill="FFFFFF"/>
        </w:rPr>
        <w:t xml:space="preserve">need for dietary supplementation and </w:t>
      </w:r>
      <w:proofErr w:type="spellStart"/>
      <w:r>
        <w:rPr>
          <w:color w:val="000000"/>
          <w:shd w:val="clear" w:color="auto" w:fill="FFFFFF"/>
        </w:rPr>
        <w:t>counselling</w:t>
      </w:r>
      <w:proofErr w:type="spellEnd"/>
      <w:r>
        <w:rPr>
          <w:color w:val="000000"/>
          <w:shd w:val="clear" w:color="auto" w:fill="FFFFFF"/>
        </w:rPr>
        <w:t xml:space="preserve"> interventions to address the deficiency of serum trace</w:t>
      </w:r>
      <w:proofErr w:type="gramEnd"/>
      <w:r>
        <w:rPr>
          <w:color w:val="000000"/>
          <w:shd w:val="clear" w:color="auto" w:fill="FFFFFF"/>
        </w:rPr>
        <w:t xml:space="preserve"> elements and </w:t>
      </w:r>
      <w:proofErr w:type="spellStart"/>
      <w:r>
        <w:rPr>
          <w:color w:val="000000"/>
          <w:shd w:val="clear" w:color="auto" w:fill="FFFFFF"/>
        </w:rPr>
        <w:t>Vit</w:t>
      </w:r>
      <w:proofErr w:type="spellEnd"/>
      <w:r>
        <w:rPr>
          <w:color w:val="000000"/>
          <w:shd w:val="clear" w:color="auto" w:fill="FFFFFF"/>
        </w:rPr>
        <w:t xml:space="preserve"> C and E deficiencies. </w:t>
      </w:r>
      <w:r>
        <w:rPr>
          <w:rFonts w:eastAsia="Calibri"/>
          <w:color w:val="000000"/>
        </w:rPr>
        <w:t xml:space="preserve">This study investigated the effects of </w:t>
      </w:r>
      <w:r>
        <w:rPr>
          <w:color w:val="000000"/>
          <w:shd w:val="clear" w:color="auto" w:fill="FFFFFF"/>
        </w:rPr>
        <w:t xml:space="preserve">dietary supplementation and </w:t>
      </w:r>
      <w:proofErr w:type="spellStart"/>
      <w:r>
        <w:rPr>
          <w:color w:val="000000"/>
          <w:shd w:val="clear" w:color="auto" w:fill="FFFFFF"/>
        </w:rPr>
        <w:t>counselling</w:t>
      </w:r>
      <w:proofErr w:type="spellEnd"/>
      <w:r>
        <w:rPr>
          <w:color w:val="000000"/>
          <w:shd w:val="clear" w:color="auto" w:fill="FFFFFF"/>
        </w:rPr>
        <w:t xml:space="preserve"> interventions</w:t>
      </w:r>
      <w:r>
        <w:rPr>
          <w:rFonts w:eastAsia="Calibri"/>
          <w:bCs/>
          <w:color w:val="000000"/>
        </w:rPr>
        <w:t xml:space="preserve"> on insulin resistance, trace elements and antioxidant vitamins levels in </w:t>
      </w:r>
      <w:r>
        <w:rPr>
          <w:rFonts w:eastAsia="Calibri"/>
        </w:rPr>
        <w:t>T2DM subjects.</w:t>
      </w:r>
      <w:r>
        <w:rPr>
          <w:rFonts w:eastAsia="Calibri"/>
          <w:spacing w:val="11"/>
          <w:shd w:val="clear" w:color="auto" w:fill="FFFFFF"/>
        </w:rPr>
        <w:t xml:space="preserve"> </w:t>
      </w:r>
      <w:r>
        <w:rPr>
          <w:rFonts w:eastAsia="Calibri"/>
        </w:rPr>
        <w:t xml:space="preserve">The study </w:t>
      </w:r>
      <w:proofErr w:type="spellStart"/>
      <w:r>
        <w:rPr>
          <w:rFonts w:eastAsia="Calibri"/>
        </w:rPr>
        <w:t>utilised</w:t>
      </w:r>
      <w:proofErr w:type="spellEnd"/>
      <w:r>
        <w:rPr>
          <w:rFonts w:eastAsia="Calibri"/>
        </w:rPr>
        <w:t xml:space="preserve"> </w:t>
      </w:r>
      <w:proofErr w:type="spellStart"/>
      <w:r>
        <w:rPr>
          <w:rFonts w:eastAsia="Calibri"/>
        </w:rPr>
        <w:t>randomised</w:t>
      </w:r>
      <w:proofErr w:type="spellEnd"/>
      <w:r>
        <w:rPr>
          <w:rFonts w:eastAsia="Calibri"/>
        </w:rPr>
        <w:t xml:space="preserve"> controlled trials design with pre-test and post-test assessments. </w:t>
      </w:r>
      <w:r>
        <w:rPr>
          <w:rFonts w:eastAsia="Calibri"/>
          <w:bCs/>
        </w:rPr>
        <w:t xml:space="preserve">Baseline, intervention period and end point data collection on 134 T2DM subjects and 130 apparently healthy adults (not diagnosed with T2DM was carried out at the Endocrinology department of Federal Medical Centre, Abeokuta, Nigeria. A semi-structured interviewer administered questionnaire was used to obtain information on socio-demographic characteristics of the subjects. </w:t>
      </w:r>
      <w:r>
        <w:rPr>
          <w:color w:val="000000"/>
        </w:rPr>
        <w:t xml:space="preserve">Dietary intake was assessed using multi-pass 24-hour dietary recall and </w:t>
      </w:r>
      <w:proofErr w:type="spellStart"/>
      <w:r>
        <w:rPr>
          <w:color w:val="000000"/>
        </w:rPr>
        <w:t>analysed</w:t>
      </w:r>
      <w:proofErr w:type="spellEnd"/>
      <w:r>
        <w:rPr>
          <w:color w:val="000000"/>
        </w:rPr>
        <w:t xml:space="preserve"> to determine energy and nutrients intake. Anthropometric measurements</w:t>
      </w:r>
      <w:r>
        <w:rPr>
          <w:rFonts w:eastAsia="Calibri"/>
        </w:rPr>
        <w:t xml:space="preserve"> (</w:t>
      </w:r>
      <w:r>
        <w:rPr>
          <w:color w:val="000000"/>
        </w:rPr>
        <w:t xml:space="preserve">weight, height, </w:t>
      </w:r>
      <w:proofErr w:type="gramStart"/>
      <w:r>
        <w:rPr>
          <w:color w:val="000000"/>
        </w:rPr>
        <w:t>hip</w:t>
      </w:r>
      <w:proofErr w:type="gramEnd"/>
      <w:r>
        <w:rPr>
          <w:color w:val="000000"/>
        </w:rPr>
        <w:t xml:space="preserve"> and waist circumference) were obtained using standard procedures. Body Mass Index (BMI) and Waist-Hip ratio were calculated from the measurements using WHO standards. Biochemical parameters at both baseline and intervention (insulin secretion level, insulin resistance, serum trace elements, vitamins E and C) was </w:t>
      </w:r>
      <w:proofErr w:type="spellStart"/>
      <w:r>
        <w:rPr>
          <w:color w:val="000000"/>
        </w:rPr>
        <w:t>analysed</w:t>
      </w:r>
      <w:proofErr w:type="spellEnd"/>
      <w:r>
        <w:rPr>
          <w:color w:val="000000"/>
        </w:rPr>
        <w:t xml:space="preserve"> using standard laboratory procedures. </w:t>
      </w:r>
      <w:r>
        <w:rPr>
          <w:rFonts w:eastAsia="Calibri"/>
          <w:bCs/>
        </w:rPr>
        <w:t>T2DM subjects</w:t>
      </w:r>
      <w:r>
        <w:rPr>
          <w:rFonts w:eastAsia="HelveticaNeueLTStd-Cn"/>
        </w:rPr>
        <w:t xml:space="preserve"> were randomized into two groups (Dietary </w:t>
      </w:r>
      <w:proofErr w:type="spellStart"/>
      <w:r>
        <w:rPr>
          <w:rFonts w:eastAsia="HelveticaNeueLTStd-Cn"/>
        </w:rPr>
        <w:t>Counselling</w:t>
      </w:r>
      <w:proofErr w:type="spellEnd"/>
      <w:r>
        <w:rPr>
          <w:rFonts w:eastAsia="HelveticaNeueLTStd-Cn"/>
        </w:rPr>
        <w:t xml:space="preserve"> Group (DCG (n=67)) and</w:t>
      </w:r>
      <w:r>
        <w:rPr>
          <w:kern w:val="24"/>
        </w:rPr>
        <w:t xml:space="preserve"> </w:t>
      </w:r>
      <w:r>
        <w:rPr>
          <w:rFonts w:eastAsia="HelveticaNeueLTStd-Cn"/>
        </w:rPr>
        <w:t>Dietary Supplementation Group (DSG (n=67)). Eight weeks</w:t>
      </w:r>
      <w:r>
        <w:rPr>
          <w:rFonts w:eastAsia="Calibri"/>
          <w:shd w:val="clear" w:color="auto" w:fill="FFFFFF"/>
        </w:rPr>
        <w:t xml:space="preserve"> administration of minerals and vitamins were given to </w:t>
      </w:r>
      <w:r>
        <w:rPr>
          <w:rFonts w:eastAsia="HelveticaNeueLTStd-Cn"/>
        </w:rPr>
        <w:t xml:space="preserve">DSG, while dietary </w:t>
      </w:r>
      <w:proofErr w:type="spellStart"/>
      <w:r>
        <w:rPr>
          <w:rFonts w:eastAsia="HelveticaNeueLTStd-Cn"/>
        </w:rPr>
        <w:t>counselling</w:t>
      </w:r>
      <w:proofErr w:type="spellEnd"/>
      <w:r>
        <w:rPr>
          <w:rFonts w:eastAsia="HelveticaNeueLTStd-Cn"/>
        </w:rPr>
        <w:t xml:space="preserve"> was done for those in DCG.</w:t>
      </w:r>
      <w:r>
        <w:rPr>
          <w:rFonts w:eastAsia="Calibri"/>
        </w:rPr>
        <w:t xml:space="preserve"> </w:t>
      </w:r>
      <w:r>
        <w:rPr>
          <w:rFonts w:eastAsia="Calibri"/>
          <w:shd w:val="clear" w:color="auto" w:fill="FFFFFF"/>
        </w:rPr>
        <w:t xml:space="preserve">Data were analyzed using </w:t>
      </w:r>
      <w:r>
        <w:rPr>
          <w:rFonts w:eastAsia="Calibri"/>
        </w:rPr>
        <w:t>frequency counts, percentages, mean standard deviation,</w:t>
      </w:r>
      <w:r>
        <w:rPr>
          <w:rFonts w:eastAsia="Calibri"/>
          <w:shd w:val="clear" w:color="auto" w:fill="FFFFFF"/>
        </w:rPr>
        <w:t xml:space="preserve"> Analysis of variance and multiple </w:t>
      </w:r>
      <w:proofErr w:type="gramStart"/>
      <w:r>
        <w:rPr>
          <w:rFonts w:eastAsia="Calibri"/>
          <w:shd w:val="clear" w:color="auto" w:fill="FFFFFF"/>
        </w:rPr>
        <w:t>regression</w:t>
      </w:r>
      <w:proofErr w:type="gramEnd"/>
      <w:r>
        <w:rPr>
          <w:rFonts w:eastAsia="Calibri"/>
          <w:shd w:val="clear" w:color="auto" w:fill="FFFFFF"/>
        </w:rPr>
        <w:t xml:space="preserve">. </w:t>
      </w:r>
      <w:r>
        <w:rPr>
          <w:rFonts w:eastAsia="Calibri"/>
          <w:bCs/>
          <w:color w:val="000000"/>
        </w:rPr>
        <w:t xml:space="preserve">At baseline, the results showed that </w:t>
      </w:r>
      <w:r>
        <w:rPr>
          <w:rFonts w:eastAsia="Calibri"/>
          <w:bCs/>
          <w:color w:val="000000"/>
        </w:rPr>
        <w:lastRenderedPageBreak/>
        <w:t>60.4% had tertiary education, 47.0% earned above seventy thousand naira/month and</w:t>
      </w:r>
      <w:r>
        <w:rPr>
          <w:rFonts w:eastAsia="Calibri"/>
          <w:color w:val="000000"/>
          <w:shd w:val="clear" w:color="auto" w:fill="FFFFFF"/>
        </w:rPr>
        <w:t xml:space="preserve"> 37.3% were retired.</w:t>
      </w:r>
      <w:r>
        <w:rPr>
          <w:rFonts w:eastAsia="Calibri"/>
          <w:color w:val="000000"/>
        </w:rPr>
        <w:t xml:space="preserve"> There was significant difference between the mean BMI of cases (26.93±6.43) and control (24.37±6.053) (p=0.001). Dietary intake showed that 75.0% and 84.5% of the </w:t>
      </w:r>
      <w:r>
        <w:rPr>
          <w:rFonts w:eastAsia="Calibri"/>
          <w:bCs/>
        </w:rPr>
        <w:t>T2DM subjects</w:t>
      </w:r>
      <w:r>
        <w:rPr>
          <w:rFonts w:eastAsia="Calibri"/>
          <w:color w:val="000000"/>
        </w:rPr>
        <w:t xml:space="preserve"> and non-</w:t>
      </w:r>
      <w:r>
        <w:rPr>
          <w:rFonts w:eastAsia="Calibri"/>
          <w:bCs/>
        </w:rPr>
        <w:t xml:space="preserve">T2DM subjects </w:t>
      </w:r>
      <w:r>
        <w:rPr>
          <w:rFonts w:eastAsia="Calibri"/>
          <w:color w:val="000000"/>
        </w:rPr>
        <w:t xml:space="preserve">met less than 100.0% Recommended Dietary Allowance (RDA) for energy, carbohydrates, protein, and fat respectively. </w:t>
      </w:r>
      <w:r>
        <w:rPr>
          <w:rFonts w:eastAsia="Calibri"/>
        </w:rPr>
        <w:t>The mean plasma levels of glucose, insulin secretion levels, insulin resistance levels, vitamin C and vitamin E of</w:t>
      </w:r>
      <w:r>
        <w:rPr>
          <w:rFonts w:eastAsia="Calibri"/>
          <w:bCs/>
        </w:rPr>
        <w:t xml:space="preserve"> T2DM subjects </w:t>
      </w:r>
      <w:r>
        <w:rPr>
          <w:rFonts w:eastAsia="Calibri"/>
        </w:rPr>
        <w:t>were significantly higher (p&lt;0.05) compared to that of non-</w:t>
      </w:r>
      <w:r>
        <w:rPr>
          <w:rFonts w:eastAsia="Calibri"/>
          <w:bCs/>
        </w:rPr>
        <w:t>T2DM subjects</w:t>
      </w:r>
      <w:r>
        <w:rPr>
          <w:rFonts w:eastAsia="Calibri"/>
        </w:rPr>
        <w:t xml:space="preserve">. The mean serum levels of trace elements of </w:t>
      </w:r>
      <w:r>
        <w:rPr>
          <w:rFonts w:eastAsia="Calibri"/>
          <w:bCs/>
        </w:rPr>
        <w:t>T2DM subjects</w:t>
      </w:r>
      <w:r>
        <w:rPr>
          <w:rFonts w:eastAsia="Calibri"/>
        </w:rPr>
        <w:t xml:space="preserve"> were significantly lower (p&lt; 0.05) to that of non-</w:t>
      </w:r>
      <w:r>
        <w:rPr>
          <w:rFonts w:eastAsia="Calibri"/>
          <w:bCs/>
        </w:rPr>
        <w:t>T2DM subjects</w:t>
      </w:r>
      <w:r>
        <w:rPr>
          <w:rFonts w:eastAsia="Calibri"/>
        </w:rPr>
        <w:t xml:space="preserve">. </w:t>
      </w:r>
      <w:r>
        <w:rPr>
          <w:rFonts w:eastAsia="Calibri"/>
          <w:shd w:val="clear" w:color="auto" w:fill="FFFFFF"/>
        </w:rPr>
        <w:t>There was a significantly (p =</w:t>
      </w:r>
      <w:r>
        <w:rPr>
          <w:rFonts w:eastAsia="Calibri"/>
        </w:rPr>
        <w:t>0.005</w:t>
      </w:r>
      <w:r>
        <w:rPr>
          <w:rFonts w:eastAsia="Calibri"/>
          <w:shd w:val="clear" w:color="auto" w:fill="FFFFFF"/>
        </w:rPr>
        <w:t xml:space="preserve">) higher serum Cu level in </w:t>
      </w:r>
      <w:r>
        <w:rPr>
          <w:rFonts w:eastAsia="Calibri"/>
          <w:bCs/>
        </w:rPr>
        <w:t>T2DM subjects</w:t>
      </w:r>
      <w:r>
        <w:rPr>
          <w:rFonts w:eastAsia="Calibri"/>
          <w:shd w:val="clear" w:color="auto" w:fill="FFFFFF"/>
        </w:rPr>
        <w:t xml:space="preserve"> (</w:t>
      </w:r>
      <w:r>
        <w:rPr>
          <w:rFonts w:eastAsia="Calibri"/>
        </w:rPr>
        <w:t>144.77±14.32 µg/dl</w:t>
      </w:r>
      <w:r>
        <w:rPr>
          <w:rFonts w:eastAsia="Calibri"/>
          <w:shd w:val="clear" w:color="auto" w:fill="FFFFFF"/>
        </w:rPr>
        <w:t>) than in the non-</w:t>
      </w:r>
      <w:r>
        <w:rPr>
          <w:rFonts w:eastAsia="Calibri"/>
          <w:bCs/>
        </w:rPr>
        <w:t>T2DM subjects</w:t>
      </w:r>
      <w:r>
        <w:rPr>
          <w:rFonts w:eastAsia="Calibri"/>
          <w:shd w:val="clear" w:color="auto" w:fill="FFFFFF"/>
        </w:rPr>
        <w:t xml:space="preserve"> (</w:t>
      </w:r>
      <w:r>
        <w:rPr>
          <w:rFonts w:eastAsia="Calibri"/>
        </w:rPr>
        <w:t>119.95±38.78 µg/dl</w:t>
      </w:r>
      <w:r>
        <w:rPr>
          <w:rFonts w:eastAsia="Calibri"/>
          <w:shd w:val="clear" w:color="auto" w:fill="FFFFFF"/>
        </w:rPr>
        <w:t xml:space="preserve">). </w:t>
      </w:r>
      <w:r>
        <w:rPr>
          <w:rFonts w:eastAsia="Calibri"/>
        </w:rPr>
        <w:t xml:space="preserve">At intervention phase, there was significant (p&lt; 0.05) reduction in mean plasma fasting glucose, insulin secretion levels, vitamin C and vitamin E in the DSG and DCG </w:t>
      </w:r>
      <w:r>
        <w:rPr>
          <w:rFonts w:eastAsia="HelveticaNeueLTStd-Cn"/>
        </w:rPr>
        <w:t xml:space="preserve">as compared to their baseline values of </w:t>
      </w:r>
      <w:r>
        <w:rPr>
          <w:rFonts w:eastAsia="Calibri"/>
          <w:bCs/>
        </w:rPr>
        <w:t xml:space="preserve">T2DM </w:t>
      </w:r>
      <w:r>
        <w:rPr>
          <w:rFonts w:eastAsia="HelveticaNeueLTStd-Cn"/>
        </w:rPr>
        <w:t>and non-</w:t>
      </w:r>
      <w:r>
        <w:rPr>
          <w:rFonts w:eastAsia="Calibri"/>
          <w:bCs/>
        </w:rPr>
        <w:t>T2DM subjects</w:t>
      </w:r>
      <w:r>
        <w:rPr>
          <w:rFonts w:eastAsia="Calibri"/>
        </w:rPr>
        <w:t xml:space="preserve">. In conclusion, there was a significant (p&lt;0.005) reduction in serum trace elements and plasma levels of antioxidants, vitamins E and C, among </w:t>
      </w:r>
      <w:r>
        <w:rPr>
          <w:rFonts w:eastAsia="Calibri"/>
          <w:bCs/>
        </w:rPr>
        <w:t xml:space="preserve">T2DM subjects </w:t>
      </w:r>
      <w:r>
        <w:rPr>
          <w:rFonts w:eastAsia="Calibri"/>
        </w:rPr>
        <w:t>as compared to non-</w:t>
      </w:r>
      <w:r>
        <w:rPr>
          <w:rFonts w:eastAsia="Calibri"/>
          <w:bCs/>
        </w:rPr>
        <w:t>T2DM subjects</w:t>
      </w:r>
      <w:r>
        <w:rPr>
          <w:rFonts w:eastAsia="Calibri"/>
        </w:rPr>
        <w:t xml:space="preserve">. Eight weeks supplementation of minerals and vitamins, with individualized dietary </w:t>
      </w:r>
      <w:proofErr w:type="spellStart"/>
      <w:r>
        <w:rPr>
          <w:rFonts w:eastAsia="Calibri"/>
        </w:rPr>
        <w:t>counselling</w:t>
      </w:r>
      <w:proofErr w:type="spellEnd"/>
      <w:r>
        <w:rPr>
          <w:rFonts w:eastAsia="Calibri"/>
        </w:rPr>
        <w:t xml:space="preserve"> were found to have significantly decreased (p&lt; 0.05) plasma fasting blood glucose levels, and insulin resistance levels in T2DM subjects. </w:t>
      </w:r>
    </w:p>
    <w:p w:rsidR="000958CA" w:rsidRDefault="000958CA" w:rsidP="000958CA">
      <w:pPr>
        <w:rPr>
          <w:rFonts w:ascii="Calibri" w:eastAsia="Times New Roman" w:hAnsi="Calibri"/>
          <w:sz w:val="22"/>
          <w:szCs w:val="22"/>
        </w:rPr>
      </w:pPr>
      <w:r>
        <w:t xml:space="preserve"> </w:t>
      </w:r>
    </w:p>
    <w:p w:rsidR="009D4C44" w:rsidRDefault="009D4C44" w:rsidP="00055B3D"/>
    <w:sectPr w:rsidR="009D4C44" w:rsidSect="009D4C44">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HelveticaNeueLTStd-Cn">
    <w:charset w:val="00"/>
    <w:family w:val="auto"/>
    <w:pitch w:val="default"/>
    <w:sig w:usb0="00000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55B3D"/>
    <w:rsid w:val="00055B3D"/>
    <w:rsid w:val="000958CA"/>
    <w:rsid w:val="009D4C4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5B3D"/>
    <w:pPr>
      <w:spacing w:before="100" w:beforeAutospacing="1" w:line="480" w:lineRule="auto"/>
      <w:jc w:val="both"/>
    </w:pPr>
    <w:rPr>
      <w:rFonts w:ascii="Times New Roman" w:eastAsia="SimSun" w:hAnsi="Times New Roman" w:cs="Times New Roman"/>
      <w:sz w:val="24"/>
      <w:szCs w:val="24"/>
    </w:rPr>
  </w:style>
  <w:style w:type="paragraph" w:styleId="Heading1">
    <w:name w:val="heading 1"/>
    <w:basedOn w:val="Normal"/>
    <w:next w:val="Normal"/>
    <w:link w:val="Heading1Char"/>
    <w:uiPriority w:val="99"/>
    <w:qFormat/>
    <w:rsid w:val="00055B3D"/>
    <w:pPr>
      <w:keepNext/>
      <w:keepLines/>
      <w:widowControl w:val="0"/>
      <w:spacing w:before="240" w:beforeAutospacing="0" w:after="0"/>
      <w:jc w:val="center"/>
      <w:outlineLvl w:val="0"/>
    </w:pPr>
    <w:rPr>
      <w:rFonts w:eastAsia="Times New Roman"/>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055B3D"/>
    <w:rPr>
      <w:rFonts w:ascii="Times New Roman" w:eastAsia="Times New Roman" w:hAnsi="Times New Roman" w:cs="Times New Roman"/>
      <w:b/>
      <w:sz w:val="24"/>
      <w:szCs w:val="24"/>
    </w:rPr>
  </w:style>
</w:styles>
</file>

<file path=word/webSettings.xml><?xml version="1.0" encoding="utf-8"?>
<w:webSettings xmlns:r="http://schemas.openxmlformats.org/officeDocument/2006/relationships" xmlns:w="http://schemas.openxmlformats.org/wordprocessingml/2006/main">
  <w:divs>
    <w:div w:id="1306273695">
      <w:bodyDiv w:val="1"/>
      <w:marLeft w:val="0"/>
      <w:marRight w:val="0"/>
      <w:marTop w:val="0"/>
      <w:marBottom w:val="0"/>
      <w:divBdr>
        <w:top w:val="none" w:sz="0" w:space="0" w:color="auto"/>
        <w:left w:val="none" w:sz="0" w:space="0" w:color="auto"/>
        <w:bottom w:val="none" w:sz="0" w:space="0" w:color="auto"/>
        <w:right w:val="none" w:sz="0" w:space="0" w:color="auto"/>
      </w:divBdr>
    </w:div>
    <w:div w:id="1537422796">
      <w:bodyDiv w:val="1"/>
      <w:marLeft w:val="0"/>
      <w:marRight w:val="0"/>
      <w:marTop w:val="0"/>
      <w:marBottom w:val="0"/>
      <w:divBdr>
        <w:top w:val="none" w:sz="0" w:space="0" w:color="auto"/>
        <w:left w:val="none" w:sz="0" w:space="0" w:color="auto"/>
        <w:bottom w:val="none" w:sz="0" w:space="0" w:color="auto"/>
        <w:right w:val="none" w:sz="0" w:space="0" w:color="auto"/>
      </w:divBdr>
    </w:div>
    <w:div w:id="1725980188">
      <w:bodyDiv w:val="1"/>
      <w:marLeft w:val="0"/>
      <w:marRight w:val="0"/>
      <w:marTop w:val="0"/>
      <w:marBottom w:val="0"/>
      <w:divBdr>
        <w:top w:val="none" w:sz="0" w:space="0" w:color="auto"/>
        <w:left w:val="none" w:sz="0" w:space="0" w:color="auto"/>
        <w:bottom w:val="none" w:sz="0" w:space="0" w:color="auto"/>
        <w:right w:val="none" w:sz="0" w:space="0" w:color="auto"/>
      </w:divBdr>
      <w:divsChild>
        <w:div w:id="1126774826">
          <w:marLeft w:val="0"/>
          <w:marRight w:val="0"/>
          <w:marTop w:val="120"/>
          <w:marBottom w:val="0"/>
          <w:divBdr>
            <w:top w:val="none" w:sz="0" w:space="0" w:color="auto"/>
            <w:left w:val="none" w:sz="0" w:space="0" w:color="auto"/>
            <w:bottom w:val="none" w:sz="0" w:space="0" w:color="auto"/>
            <w:right w:val="none" w:sz="0" w:space="0" w:color="auto"/>
          </w:divBdr>
          <w:divsChild>
            <w:div w:id="973678790">
              <w:marLeft w:val="0"/>
              <w:marRight w:val="0"/>
              <w:marTop w:val="0"/>
              <w:marBottom w:val="0"/>
              <w:divBdr>
                <w:top w:val="none" w:sz="0" w:space="0" w:color="auto"/>
                <w:left w:val="none" w:sz="0" w:space="0" w:color="auto"/>
                <w:bottom w:val="none" w:sz="0" w:space="0" w:color="auto"/>
                <w:right w:val="none" w:sz="0" w:space="0" w:color="auto"/>
              </w:divBdr>
              <w:divsChild>
                <w:div w:id="1470200455">
                  <w:marLeft w:val="0"/>
                  <w:marRight w:val="0"/>
                  <w:marTop w:val="0"/>
                  <w:marBottom w:val="0"/>
                  <w:divBdr>
                    <w:top w:val="none" w:sz="0" w:space="0" w:color="auto"/>
                    <w:left w:val="none" w:sz="0" w:space="0" w:color="auto"/>
                    <w:bottom w:val="none" w:sz="0" w:space="0" w:color="auto"/>
                    <w:right w:val="none" w:sz="0" w:space="0" w:color="auto"/>
                  </w:divBdr>
                  <w:divsChild>
                    <w:div w:id="26222947">
                      <w:marLeft w:val="0"/>
                      <w:marRight w:val="0"/>
                      <w:marTop w:val="0"/>
                      <w:marBottom w:val="0"/>
                      <w:divBdr>
                        <w:top w:val="none" w:sz="0" w:space="0" w:color="auto"/>
                        <w:left w:val="none" w:sz="0" w:space="0" w:color="auto"/>
                        <w:bottom w:val="none" w:sz="0" w:space="0" w:color="auto"/>
                        <w:right w:val="none" w:sz="0" w:space="0" w:color="auto"/>
                      </w:divBdr>
                      <w:divsChild>
                        <w:div w:id="1733429114">
                          <w:marLeft w:val="0"/>
                          <w:marRight w:val="0"/>
                          <w:marTop w:val="0"/>
                          <w:marBottom w:val="0"/>
                          <w:divBdr>
                            <w:top w:val="none" w:sz="0" w:space="0" w:color="auto"/>
                            <w:left w:val="none" w:sz="0" w:space="0" w:color="auto"/>
                            <w:bottom w:val="none" w:sz="0" w:space="0" w:color="auto"/>
                            <w:right w:val="none" w:sz="0" w:space="0" w:color="auto"/>
                          </w:divBdr>
                        </w:div>
                        <w:div w:id="1632639121">
                          <w:marLeft w:val="0"/>
                          <w:marRight w:val="0"/>
                          <w:marTop w:val="0"/>
                          <w:marBottom w:val="0"/>
                          <w:divBdr>
                            <w:top w:val="none" w:sz="0" w:space="0" w:color="auto"/>
                            <w:left w:val="none" w:sz="0" w:space="0" w:color="auto"/>
                            <w:bottom w:val="none" w:sz="0" w:space="0" w:color="auto"/>
                            <w:right w:val="none" w:sz="0" w:space="0" w:color="auto"/>
                          </w:divBdr>
                          <w:divsChild>
                            <w:div w:id="1952781633">
                              <w:marLeft w:val="0"/>
                              <w:marRight w:val="0"/>
                              <w:marTop w:val="0"/>
                              <w:marBottom w:val="0"/>
                              <w:divBdr>
                                <w:top w:val="none" w:sz="0" w:space="0" w:color="auto"/>
                                <w:left w:val="none" w:sz="0" w:space="0" w:color="auto"/>
                                <w:bottom w:val="none" w:sz="0" w:space="0" w:color="auto"/>
                                <w:right w:val="none" w:sz="0" w:space="0" w:color="auto"/>
                              </w:divBdr>
                              <w:divsChild>
                                <w:div w:id="1304771758">
                                  <w:marLeft w:val="0"/>
                                  <w:marRight w:val="0"/>
                                  <w:marTop w:val="0"/>
                                  <w:marBottom w:val="0"/>
                                  <w:divBdr>
                                    <w:top w:val="none" w:sz="0" w:space="0" w:color="auto"/>
                                    <w:left w:val="none" w:sz="0" w:space="0" w:color="auto"/>
                                    <w:bottom w:val="none" w:sz="0" w:space="0" w:color="auto"/>
                                    <w:right w:val="none" w:sz="0" w:space="0" w:color="auto"/>
                                  </w:divBdr>
                                  <w:divsChild>
                                    <w:div w:id="1708066516">
                                      <w:marLeft w:val="0"/>
                                      <w:marRight w:val="0"/>
                                      <w:marTop w:val="0"/>
                                      <w:marBottom w:val="0"/>
                                      <w:divBdr>
                                        <w:top w:val="none" w:sz="0" w:space="0" w:color="auto"/>
                                        <w:left w:val="none" w:sz="0" w:space="0" w:color="auto"/>
                                        <w:bottom w:val="none" w:sz="0" w:space="0" w:color="auto"/>
                                        <w:right w:val="none" w:sz="0" w:space="0" w:color="auto"/>
                                      </w:divBdr>
                                    </w:div>
                                    <w:div w:id="209653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54082579">
      <w:bodyDiv w:val="1"/>
      <w:marLeft w:val="0"/>
      <w:marRight w:val="0"/>
      <w:marTop w:val="0"/>
      <w:marBottom w:val="0"/>
      <w:divBdr>
        <w:top w:val="none" w:sz="0" w:space="0" w:color="auto"/>
        <w:left w:val="none" w:sz="0" w:space="0" w:color="auto"/>
        <w:bottom w:val="none" w:sz="0" w:space="0" w:color="auto"/>
        <w:right w:val="none" w:sz="0" w:space="0" w:color="auto"/>
      </w:divBdr>
    </w:div>
    <w:div w:id="1873956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3</Pages>
  <Words>607</Words>
  <Characters>3461</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2025-11-03T11:09:00Z</dcterms:created>
  <dcterms:modified xsi:type="dcterms:W3CDTF">2025-11-03T11:25:00Z</dcterms:modified>
</cp:coreProperties>
</file>