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1B0" w:rsidRPr="00C51894" w:rsidRDefault="007541B0" w:rsidP="007541B0">
      <w:pPr>
        <w:pStyle w:val="NoSpacing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C51894">
        <w:rPr>
          <w:rFonts w:ascii="Times New Roman" w:hAnsi="Times New Roman" w:cs="Times New Roman"/>
          <w:b/>
          <w:sz w:val="36"/>
          <w:szCs w:val="36"/>
        </w:rPr>
        <w:t>BIOSYNTHESIS OF NANOPARTICLES FROM LOW-VALUE AGRO-WASTE AND THEIR POTENTIAL AS BIOCIDES IN PAINT INDUSTRY</w:t>
      </w:r>
    </w:p>
    <w:p w:rsidR="007541B0" w:rsidRPr="007D78B6" w:rsidRDefault="007541B0" w:rsidP="007541B0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541B0" w:rsidRPr="007D78B6" w:rsidRDefault="007541B0" w:rsidP="007541B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78B6">
        <w:rPr>
          <w:rFonts w:ascii="Times New Roman" w:hAnsi="Times New Roman" w:cs="Times New Roman"/>
          <w:b/>
          <w:sz w:val="24"/>
          <w:szCs w:val="24"/>
        </w:rPr>
        <w:t>BY</w:t>
      </w:r>
    </w:p>
    <w:p w:rsidR="007541B0" w:rsidRPr="007D78B6" w:rsidRDefault="007541B0" w:rsidP="007541B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541B0" w:rsidRPr="007D78B6" w:rsidRDefault="007541B0" w:rsidP="007541B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541B0" w:rsidRPr="00C51894" w:rsidRDefault="007541B0" w:rsidP="007541B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51894">
        <w:rPr>
          <w:rFonts w:ascii="Times New Roman" w:hAnsi="Times New Roman" w:cs="Times New Roman"/>
          <w:b/>
          <w:sz w:val="28"/>
          <w:szCs w:val="28"/>
        </w:rPr>
        <w:t>MOYOSORE, WASIU ABAYOMI</w:t>
      </w:r>
    </w:p>
    <w:p w:rsidR="007541B0" w:rsidRDefault="007541B0" w:rsidP="007541B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7D78B6">
        <w:rPr>
          <w:rFonts w:ascii="Times New Roman" w:hAnsi="Times New Roman" w:cs="Times New Roman"/>
          <w:b/>
          <w:sz w:val="24"/>
          <w:szCs w:val="24"/>
        </w:rPr>
        <w:t>MATRIC.</w:t>
      </w:r>
      <w:proofErr w:type="gramEnd"/>
      <w:r w:rsidRPr="007D78B6">
        <w:rPr>
          <w:rFonts w:ascii="Times New Roman" w:hAnsi="Times New Roman" w:cs="Times New Roman"/>
          <w:b/>
          <w:sz w:val="24"/>
          <w:szCs w:val="24"/>
        </w:rPr>
        <w:t xml:space="preserve"> NO.: PG/17/0124</w:t>
      </w:r>
    </w:p>
    <w:p w:rsidR="007541B0" w:rsidRPr="007D78B6" w:rsidRDefault="007541B0" w:rsidP="007541B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541B0" w:rsidRDefault="007541B0" w:rsidP="007541B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51894">
        <w:rPr>
          <w:rFonts w:ascii="Times New Roman" w:hAnsi="Times New Roman" w:cs="Times New Roman"/>
          <w:b/>
          <w:sz w:val="28"/>
          <w:szCs w:val="28"/>
        </w:rPr>
        <w:t xml:space="preserve">A DISSERTATION SUBMITTED TO THE </w:t>
      </w:r>
    </w:p>
    <w:p w:rsidR="007541B0" w:rsidRDefault="007541B0" w:rsidP="007541B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51894">
        <w:rPr>
          <w:rFonts w:ascii="Times New Roman" w:hAnsi="Times New Roman" w:cs="Times New Roman"/>
          <w:b/>
          <w:sz w:val="28"/>
          <w:szCs w:val="28"/>
        </w:rPr>
        <w:t xml:space="preserve">DEPARTMENT OF MICROBIOLOGY, COLLEGE OF BIOSCIENCES, </w:t>
      </w:r>
    </w:p>
    <w:p w:rsidR="007541B0" w:rsidRDefault="007541B0" w:rsidP="007541B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C51894">
        <w:rPr>
          <w:rFonts w:ascii="Times New Roman" w:hAnsi="Times New Roman" w:cs="Times New Roman"/>
          <w:b/>
          <w:sz w:val="28"/>
          <w:szCs w:val="28"/>
        </w:rPr>
        <w:t>FEDERAL UNIVERSITY OF ARICULTURE, ABEOKUTA</w:t>
      </w:r>
      <w:r>
        <w:rPr>
          <w:rFonts w:ascii="Times New Roman" w:hAnsi="Times New Roman" w:cs="Times New Roman"/>
          <w:b/>
          <w:sz w:val="28"/>
          <w:szCs w:val="28"/>
        </w:rPr>
        <w:t>.</w:t>
      </w:r>
      <w:proofErr w:type="gramEnd"/>
    </w:p>
    <w:p w:rsidR="007541B0" w:rsidRPr="00C51894" w:rsidRDefault="007541B0" w:rsidP="007541B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51894">
        <w:rPr>
          <w:rFonts w:ascii="Times New Roman" w:hAnsi="Times New Roman" w:cs="Times New Roman"/>
          <w:b/>
          <w:sz w:val="28"/>
          <w:szCs w:val="28"/>
        </w:rPr>
        <w:t>IN PARTIAL FULFILLMENT OF THE REQUIREMENTS FOR THE AWARD OF DOCTOR OF PHILOSOPHY (Ph.D.) DEGREE IN FOOD &amp; INDUSTRIAL MICROBIOLOGY</w:t>
      </w:r>
    </w:p>
    <w:p w:rsidR="007541B0" w:rsidRPr="00C51894" w:rsidRDefault="007541B0" w:rsidP="007541B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541B0" w:rsidRPr="007D78B6" w:rsidRDefault="007541B0" w:rsidP="007541B0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541B0" w:rsidRPr="007D78B6" w:rsidRDefault="007541B0" w:rsidP="007541B0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541B0" w:rsidRPr="007D78B6" w:rsidRDefault="007541B0" w:rsidP="007541B0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541B0" w:rsidRPr="007D78B6" w:rsidRDefault="007541B0" w:rsidP="007541B0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541B0" w:rsidRPr="007D78B6" w:rsidRDefault="007541B0" w:rsidP="007541B0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541B0" w:rsidRPr="007D78B6" w:rsidRDefault="007541B0" w:rsidP="007541B0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541B0" w:rsidRPr="007D78B6" w:rsidRDefault="007541B0" w:rsidP="007541B0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541B0" w:rsidRPr="007D78B6" w:rsidRDefault="007541B0" w:rsidP="007541B0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541B0" w:rsidRPr="007D78B6" w:rsidRDefault="007541B0" w:rsidP="007541B0">
      <w:pPr>
        <w:spacing w:after="0" w:line="480" w:lineRule="auto"/>
        <w:ind w:left="2700" w:hanging="270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78B6">
        <w:rPr>
          <w:rFonts w:ascii="Times New Roman" w:hAnsi="Times New Roman" w:cs="Times New Roman"/>
          <w:b/>
          <w:sz w:val="24"/>
          <w:szCs w:val="24"/>
        </w:rPr>
        <w:lastRenderedPageBreak/>
        <w:t>ABSTRACT</w:t>
      </w:r>
    </w:p>
    <w:p w:rsidR="007541B0" w:rsidRPr="007D78B6" w:rsidRDefault="007541B0" w:rsidP="007541B0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78B6">
        <w:rPr>
          <w:rFonts w:ascii="Times New Roman" w:hAnsi="Times New Roman" w:cs="Times New Roman"/>
          <w:sz w:val="24"/>
          <w:szCs w:val="24"/>
        </w:rPr>
        <w:t xml:space="preserve">Paint contains organic materials which can serve as both carbon and energy sources for microorganisms, therefore susceptible to microbial attack during storage and after application on a surface. The resistance of paint spoilage microbes to conventional biocides necessitates the development of improved and more effective biocides.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Nanomaterials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have recorded </w:t>
      </w:r>
      <w:r w:rsidRPr="007D78B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broad-spectrum antimicrobial properties. </w:t>
      </w:r>
      <w:r w:rsidRPr="007D78B6">
        <w:rPr>
          <w:rFonts w:ascii="Times New Roman" w:hAnsi="Times New Roman" w:cs="Times New Roman"/>
          <w:sz w:val="24"/>
          <w:szCs w:val="24"/>
        </w:rPr>
        <w:t xml:space="preserve">This study investigated the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biocidal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efficacy of biogenic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nanosilver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AgNPs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) and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nanotitania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TiNPs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) as potential biocides for the paint industry.  The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nanosilver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nanotitania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were synthesized by adding aqueous extract of banana peel to silver nitrate (AgNO</w:t>
      </w:r>
      <w:r w:rsidRPr="007D78B6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7D78B6">
        <w:rPr>
          <w:rFonts w:ascii="Times New Roman" w:hAnsi="Times New Roman" w:cs="Times New Roman"/>
          <w:sz w:val="24"/>
          <w:szCs w:val="24"/>
        </w:rPr>
        <w:t xml:space="preserve">) and titanium </w:t>
      </w:r>
      <w:proofErr w:type="gramStart"/>
      <w:r w:rsidRPr="007D78B6">
        <w:rPr>
          <w:rFonts w:ascii="Times New Roman" w:hAnsi="Times New Roman" w:cs="Times New Roman"/>
          <w:sz w:val="24"/>
          <w:szCs w:val="24"/>
        </w:rPr>
        <w:t>iv</w:t>
      </w:r>
      <w:proofErr w:type="gramEnd"/>
      <w:r w:rsidRPr="007D78B6">
        <w:rPr>
          <w:rFonts w:ascii="Times New Roman" w:hAnsi="Times New Roman" w:cs="Times New Roman"/>
          <w:sz w:val="24"/>
          <w:szCs w:val="24"/>
        </w:rPr>
        <w:t xml:space="preserve"> oxide (TiO</w:t>
      </w:r>
      <w:r w:rsidRPr="007D7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D78B6">
        <w:rPr>
          <w:rFonts w:ascii="Times New Roman" w:hAnsi="Times New Roman" w:cs="Times New Roman"/>
          <w:sz w:val="24"/>
          <w:szCs w:val="24"/>
        </w:rPr>
        <w:t xml:space="preserve">), respectively. The biogenic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nanoparticles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were characterized using Ultraviolet-visible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spectrophotometry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, scanning electron microscopy (SEM), energy dispersive X-ray spectroscopy (EDX), X-ray powder diffraction (XRD), and Fourier-transform infrared spectroscopy (FT-IR) while Gas Chromatography-Mass Spectrometry (GC-MS) was used to profile metabolites present in the banana peel. Paint microbes were isolated from two samples of in-can paints and fifteen painted walls observed for visible discolorations in Abeokuta and characterized using morphological, biochemical, and molecular methods. The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biocidal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efficacy of the biogenic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nanoparticles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against the isolates was investigated. Bioactive compounds revealed by GC-MS were docked against biomarkers present in susceptible isolates using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iGEMDOCK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software. The results were analyzed using one-way Analysis of Variance while treatment means were separated by Duncan Multiple Range Test </w:t>
      </w:r>
      <w:proofErr w:type="gramStart"/>
      <w:r w:rsidRPr="007D78B6">
        <w:rPr>
          <w:rFonts w:ascii="Times New Roman" w:hAnsi="Times New Roman" w:cs="Times New Roman"/>
          <w:sz w:val="24"/>
          <w:szCs w:val="24"/>
        </w:rPr>
        <w:t>at 0.05 level of significance</w:t>
      </w:r>
      <w:proofErr w:type="gramEnd"/>
      <w:r w:rsidRPr="007D78B6">
        <w:rPr>
          <w:rFonts w:ascii="Times New Roman" w:hAnsi="Times New Roman" w:cs="Times New Roman"/>
          <w:sz w:val="24"/>
          <w:szCs w:val="24"/>
        </w:rPr>
        <w:t xml:space="preserve">. Results showed that Ultraviolet-visible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spectrophotometry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recorded surface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plasmon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resonance at 475 and 260 nm for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AgNPs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TiNPs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, respectively. The SEM revealed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polydispersed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AgNPs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TiNPs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having average sizes of 83.48 and 96.4nm, respectively. The EDX confirmed the presence of silver and titanium with carbon and oxygen showing that both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lastRenderedPageBreak/>
        <w:t>nanoparticles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are biogenic. The intensity of XRD peaks reflected that both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nanoparticles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are crystalline with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AgNPs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similar to that of face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centered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cubic structure of silver, while 2Ɵ at peak around 25° confirmed TiO</w:t>
      </w:r>
      <w:r w:rsidRPr="007D7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D78B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anatase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structure. The FT-IR analysis showed the presence of carboxylic acids and esters, confirming n-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Hexadecanoic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acid and methyl ester as revealed by GC-MS. The susceptible isolates identified by molecular method were </w:t>
      </w:r>
      <w:r w:rsidRPr="007D78B6">
        <w:rPr>
          <w:rFonts w:ascii="Times New Roman" w:hAnsi="Times New Roman" w:cs="Times New Roman"/>
          <w:i/>
          <w:iCs/>
          <w:sz w:val="24"/>
          <w:szCs w:val="24"/>
        </w:rPr>
        <w:t xml:space="preserve">Pseudomonas </w:t>
      </w:r>
      <w:proofErr w:type="spellStart"/>
      <w:r w:rsidRPr="007D78B6">
        <w:rPr>
          <w:rFonts w:ascii="Times New Roman" w:hAnsi="Times New Roman" w:cs="Times New Roman"/>
          <w:i/>
          <w:iCs/>
          <w:sz w:val="24"/>
          <w:szCs w:val="24"/>
        </w:rPr>
        <w:t>aeruginosa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FUNAAB WAS01, </w:t>
      </w:r>
      <w:proofErr w:type="spellStart"/>
      <w:r w:rsidRPr="007D78B6">
        <w:rPr>
          <w:rFonts w:ascii="Times New Roman" w:hAnsi="Times New Roman" w:cs="Times New Roman"/>
          <w:i/>
          <w:iCs/>
          <w:sz w:val="24"/>
          <w:szCs w:val="24"/>
        </w:rPr>
        <w:t>Kosakonia</w:t>
      </w:r>
      <w:proofErr w:type="spellEnd"/>
      <w:r w:rsidRPr="007D78B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7D78B6">
        <w:rPr>
          <w:rFonts w:ascii="Times New Roman" w:hAnsi="Times New Roman" w:cs="Times New Roman"/>
          <w:i/>
          <w:iCs/>
          <w:sz w:val="24"/>
          <w:szCs w:val="24"/>
        </w:rPr>
        <w:t>cowanii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FUNAAB WAS02, and </w:t>
      </w:r>
      <w:proofErr w:type="spellStart"/>
      <w:r w:rsidRPr="007D78B6">
        <w:rPr>
          <w:rFonts w:ascii="Times New Roman" w:hAnsi="Times New Roman" w:cs="Times New Roman"/>
          <w:i/>
          <w:iCs/>
          <w:sz w:val="24"/>
          <w:szCs w:val="24"/>
        </w:rPr>
        <w:t>Aspergillus</w:t>
      </w:r>
      <w:proofErr w:type="spellEnd"/>
      <w:r w:rsidRPr="007D78B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7D78B6">
        <w:rPr>
          <w:rFonts w:ascii="Times New Roman" w:hAnsi="Times New Roman" w:cs="Times New Roman"/>
          <w:i/>
          <w:iCs/>
          <w:sz w:val="24"/>
          <w:szCs w:val="24"/>
        </w:rPr>
        <w:t>aculeatus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FUNAAB WAS03 with </w:t>
      </w:r>
      <w:proofErr w:type="spellStart"/>
      <w:r w:rsidRPr="007D78B6">
        <w:rPr>
          <w:rFonts w:ascii="Times New Roman" w:hAnsi="Times New Roman" w:cs="Times New Roman"/>
          <w:i/>
          <w:iCs/>
          <w:sz w:val="24"/>
          <w:szCs w:val="24"/>
        </w:rPr>
        <w:t>Kosakonia</w:t>
      </w:r>
      <w:proofErr w:type="spellEnd"/>
      <w:r w:rsidRPr="007D78B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7D78B6">
        <w:rPr>
          <w:rFonts w:ascii="Times New Roman" w:hAnsi="Times New Roman" w:cs="Times New Roman"/>
          <w:i/>
          <w:iCs/>
          <w:sz w:val="24"/>
          <w:szCs w:val="24"/>
        </w:rPr>
        <w:t>cowanii</w:t>
      </w:r>
      <w:proofErr w:type="spellEnd"/>
      <w:r w:rsidRPr="007D78B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7D78B6">
        <w:rPr>
          <w:rFonts w:ascii="Times New Roman" w:hAnsi="Times New Roman" w:cs="Times New Roman"/>
          <w:iCs/>
          <w:sz w:val="24"/>
          <w:szCs w:val="24"/>
        </w:rPr>
        <w:t xml:space="preserve">being a novel bacterium implicated in paint deterioration. </w:t>
      </w:r>
      <w:r w:rsidRPr="007D78B6">
        <w:rPr>
          <w:rFonts w:ascii="Times New Roman" w:hAnsi="Times New Roman" w:cs="Times New Roman"/>
          <w:sz w:val="24"/>
          <w:szCs w:val="24"/>
        </w:rPr>
        <w:t>At concentrations 4 - 125</w:t>
      </w:r>
      <w:r w:rsidRPr="007D78B6">
        <w:rPr>
          <w:rFonts w:ascii="Times New Roman" w:hAnsi="Times New Roman" w:cs="Times New Roman"/>
          <w:bCs/>
          <w:sz w:val="24"/>
          <w:szCs w:val="24"/>
        </w:rPr>
        <w:t xml:space="preserve">µg/ml, the </w:t>
      </w:r>
      <w:proofErr w:type="spellStart"/>
      <w:r w:rsidRPr="007D78B6">
        <w:rPr>
          <w:rFonts w:ascii="Times New Roman" w:hAnsi="Times New Roman" w:cs="Times New Roman"/>
          <w:bCs/>
          <w:sz w:val="24"/>
          <w:szCs w:val="24"/>
        </w:rPr>
        <w:t>nanoparticles</w:t>
      </w:r>
      <w:proofErr w:type="spellEnd"/>
      <w:r w:rsidRPr="007D78B6">
        <w:rPr>
          <w:rFonts w:ascii="Times New Roman" w:hAnsi="Times New Roman" w:cs="Times New Roman"/>
          <w:bCs/>
          <w:sz w:val="24"/>
          <w:szCs w:val="24"/>
        </w:rPr>
        <w:t xml:space="preserve"> exhibited </w:t>
      </w:r>
      <w:proofErr w:type="spellStart"/>
      <w:r w:rsidRPr="007D78B6">
        <w:rPr>
          <w:rFonts w:ascii="Times New Roman" w:hAnsi="Times New Roman" w:cs="Times New Roman"/>
          <w:bCs/>
          <w:sz w:val="24"/>
          <w:szCs w:val="24"/>
        </w:rPr>
        <w:t>biocidal</w:t>
      </w:r>
      <w:proofErr w:type="spellEnd"/>
      <w:r w:rsidRPr="007D78B6">
        <w:rPr>
          <w:rFonts w:ascii="Times New Roman" w:hAnsi="Times New Roman" w:cs="Times New Roman"/>
          <w:bCs/>
          <w:sz w:val="24"/>
          <w:szCs w:val="24"/>
        </w:rPr>
        <w:t xml:space="preserve"> efficacy against the three paint isolates. The </w:t>
      </w:r>
      <w:proofErr w:type="spellStart"/>
      <w:r w:rsidRPr="007D78B6">
        <w:rPr>
          <w:rFonts w:ascii="Times New Roman" w:hAnsi="Times New Roman" w:cs="Times New Roman"/>
          <w:bCs/>
          <w:sz w:val="24"/>
          <w:szCs w:val="24"/>
        </w:rPr>
        <w:t>TiNPs</w:t>
      </w:r>
      <w:proofErr w:type="spellEnd"/>
      <w:r w:rsidRPr="007D78B6">
        <w:rPr>
          <w:rFonts w:ascii="Times New Roman" w:hAnsi="Times New Roman" w:cs="Times New Roman"/>
          <w:bCs/>
          <w:sz w:val="24"/>
          <w:szCs w:val="24"/>
        </w:rPr>
        <w:t xml:space="preserve"> inhibited </w:t>
      </w:r>
      <w:r w:rsidRPr="007D78B6">
        <w:rPr>
          <w:rFonts w:ascii="Times New Roman" w:hAnsi="Times New Roman" w:cs="Times New Roman"/>
          <w:iCs/>
          <w:sz w:val="24"/>
          <w:szCs w:val="24"/>
        </w:rPr>
        <w:t xml:space="preserve">growth of </w:t>
      </w:r>
      <w:r w:rsidRPr="007D78B6">
        <w:rPr>
          <w:rFonts w:ascii="Times New Roman" w:hAnsi="Times New Roman" w:cs="Times New Roman"/>
          <w:i/>
          <w:iCs/>
          <w:sz w:val="24"/>
          <w:szCs w:val="24"/>
        </w:rPr>
        <w:t xml:space="preserve">Pseudomonas </w:t>
      </w:r>
      <w:proofErr w:type="spellStart"/>
      <w:r w:rsidRPr="007D78B6">
        <w:rPr>
          <w:rFonts w:ascii="Times New Roman" w:hAnsi="Times New Roman" w:cs="Times New Roman"/>
          <w:i/>
          <w:iCs/>
          <w:sz w:val="24"/>
          <w:szCs w:val="24"/>
        </w:rPr>
        <w:t>aeruginosa</w:t>
      </w:r>
      <w:proofErr w:type="spellEnd"/>
      <w:r w:rsidRPr="007D78B6">
        <w:rPr>
          <w:rFonts w:ascii="Times New Roman" w:hAnsi="Times New Roman" w:cs="Times New Roman"/>
          <w:iCs/>
          <w:sz w:val="24"/>
          <w:szCs w:val="24"/>
        </w:rPr>
        <w:t xml:space="preserve"> with zone of inhibition of 20 mm diameter while conventional biocide recorded no zone of inhibition. </w:t>
      </w:r>
      <w:r w:rsidRPr="007D78B6">
        <w:rPr>
          <w:rFonts w:ascii="Times New Roman" w:hAnsi="Times New Roman" w:cs="Times New Roman"/>
          <w:sz w:val="24"/>
          <w:szCs w:val="24"/>
        </w:rPr>
        <w:t xml:space="preserve">Docking analysis revealed that n –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Hexadecanoic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acid has a relatively high negative binding energy of 88, 80, and 73 kcal against </w:t>
      </w:r>
      <w:r w:rsidRPr="007D78B6">
        <w:rPr>
          <w:rFonts w:ascii="Times New Roman" w:hAnsi="Times New Roman" w:cs="Times New Roman"/>
          <w:i/>
          <w:iCs/>
          <w:sz w:val="24"/>
          <w:szCs w:val="24"/>
        </w:rPr>
        <w:t xml:space="preserve">Pseudomonas </w:t>
      </w:r>
      <w:proofErr w:type="spellStart"/>
      <w:r w:rsidRPr="007D78B6">
        <w:rPr>
          <w:rFonts w:ascii="Times New Roman" w:hAnsi="Times New Roman" w:cs="Times New Roman"/>
          <w:i/>
          <w:iCs/>
          <w:sz w:val="24"/>
          <w:szCs w:val="24"/>
        </w:rPr>
        <w:t>aeruginosa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FUNAAB WAS01, </w:t>
      </w:r>
      <w:proofErr w:type="spellStart"/>
      <w:r w:rsidRPr="007D78B6">
        <w:rPr>
          <w:rFonts w:ascii="Times New Roman" w:hAnsi="Times New Roman" w:cs="Times New Roman"/>
          <w:i/>
          <w:iCs/>
          <w:sz w:val="24"/>
          <w:szCs w:val="24"/>
        </w:rPr>
        <w:t>Kosakonia</w:t>
      </w:r>
      <w:proofErr w:type="spellEnd"/>
      <w:r w:rsidRPr="007D78B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7D78B6">
        <w:rPr>
          <w:rFonts w:ascii="Times New Roman" w:hAnsi="Times New Roman" w:cs="Times New Roman"/>
          <w:i/>
          <w:iCs/>
          <w:sz w:val="24"/>
          <w:szCs w:val="24"/>
        </w:rPr>
        <w:t>cowanii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FUNAAB WAS02, and </w:t>
      </w:r>
      <w:proofErr w:type="spellStart"/>
      <w:r w:rsidRPr="007D78B6">
        <w:rPr>
          <w:rFonts w:ascii="Times New Roman" w:hAnsi="Times New Roman" w:cs="Times New Roman"/>
          <w:i/>
          <w:iCs/>
          <w:sz w:val="24"/>
          <w:szCs w:val="24"/>
        </w:rPr>
        <w:t>Aspergillus</w:t>
      </w:r>
      <w:proofErr w:type="spellEnd"/>
      <w:r w:rsidRPr="007D78B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7D78B6">
        <w:rPr>
          <w:rFonts w:ascii="Times New Roman" w:hAnsi="Times New Roman" w:cs="Times New Roman"/>
          <w:i/>
          <w:iCs/>
          <w:sz w:val="24"/>
          <w:szCs w:val="24"/>
        </w:rPr>
        <w:t>aculeatus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FUNAAB WAS03. The study suggested that biogenic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nanosilver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7D78B6">
        <w:rPr>
          <w:rFonts w:ascii="Times New Roman" w:hAnsi="Times New Roman" w:cs="Times New Roman"/>
          <w:sz w:val="24"/>
          <w:szCs w:val="24"/>
        </w:rPr>
        <w:t>nanotitania</w:t>
      </w:r>
      <w:proofErr w:type="spellEnd"/>
      <w:r w:rsidRPr="007D78B6">
        <w:rPr>
          <w:rFonts w:ascii="Times New Roman" w:hAnsi="Times New Roman" w:cs="Times New Roman"/>
          <w:sz w:val="24"/>
          <w:szCs w:val="24"/>
        </w:rPr>
        <w:t xml:space="preserve"> are effective biocides against microbes implicated in paint degradation.</w:t>
      </w:r>
    </w:p>
    <w:p w:rsidR="004C4AB6" w:rsidRDefault="004C4AB6"/>
    <w:sectPr w:rsidR="004C4AB6" w:rsidSect="004C4AB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7541B0"/>
    <w:rsid w:val="004C4AB6"/>
    <w:rsid w:val="007541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41B0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541B0"/>
    <w:pPr>
      <w:spacing w:after="0" w:line="240" w:lineRule="auto"/>
    </w:pPr>
    <w:rPr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554</Words>
  <Characters>3162</Characters>
  <Application>Microsoft Office Word</Application>
  <DocSecurity>0</DocSecurity>
  <Lines>26</Lines>
  <Paragraphs>7</Paragraphs>
  <ScaleCrop>false</ScaleCrop>
  <Company/>
  <LinksUpToDate>false</LinksUpToDate>
  <CharactersWithSpaces>3709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2025-12-04T09:23:00Z</dcterms:created>
  <dcterms:modified xsi:type="dcterms:W3CDTF">2025-12-04T09:24:00Z</dcterms:modified>
</cp:coreProperties>
</file>