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4D78" w:rsidRDefault="001E4D78" w:rsidP="001E4D78">
      <w:pPr>
        <w:spacing w:line="480" w:lineRule="auto"/>
        <w:jc w:val="center"/>
        <w:rPr>
          <w:rFonts w:ascii="Times New Roman" w:eastAsia="Calibri" w:hAnsi="Times New Roman"/>
          <w:sz w:val="24"/>
          <w:szCs w:val="24"/>
        </w:rPr>
      </w:pPr>
      <w:r>
        <w:rPr>
          <w:rFonts w:ascii="Times New Roman" w:eastAsia="Calibri" w:hAnsi="Times New Roman"/>
          <w:sz w:val="24"/>
          <w:szCs w:val="24"/>
        </w:rPr>
        <w:t>CONFIGURATION OF THE BASEMENT TOPOGRAPHY OF ABEOKUTA METROPOLIS USING INTEGRATED GEOPHYSICAL METHODS AND MULTI CRITERIA DECISION ANALYSIS (MCDA) FOR GROUNDWATER EXPLORATION</w:t>
      </w:r>
    </w:p>
    <w:p w:rsidR="001E4D78" w:rsidRDefault="001E4D78" w:rsidP="001E4D78">
      <w:pPr>
        <w:spacing w:line="480" w:lineRule="auto"/>
        <w:rPr>
          <w:rFonts w:ascii="Times New Roman" w:eastAsia="Calibri" w:hAnsi="Times New Roman"/>
          <w:sz w:val="24"/>
          <w:szCs w:val="24"/>
        </w:rPr>
      </w:pPr>
      <w:r>
        <w:rPr>
          <w:rFonts w:ascii="Times New Roman" w:eastAsia="Calibri" w:hAnsi="Times New Roman"/>
          <w:sz w:val="24"/>
          <w:szCs w:val="24"/>
        </w:rPr>
        <w:t xml:space="preserve"> </w:t>
      </w:r>
    </w:p>
    <w:p w:rsidR="001E4D78" w:rsidRDefault="001E4D78" w:rsidP="001E4D78">
      <w:pPr>
        <w:spacing w:line="480" w:lineRule="auto"/>
        <w:jc w:val="center"/>
        <w:rPr>
          <w:rFonts w:ascii="Times New Roman" w:eastAsia="Calibri" w:hAnsi="Times New Roman"/>
          <w:sz w:val="24"/>
          <w:szCs w:val="24"/>
        </w:rPr>
      </w:pPr>
      <w:r>
        <w:rPr>
          <w:rFonts w:ascii="Times New Roman" w:eastAsia="Calibri" w:hAnsi="Times New Roman"/>
          <w:sz w:val="24"/>
          <w:szCs w:val="24"/>
        </w:rPr>
        <w:t>BY</w:t>
      </w:r>
    </w:p>
    <w:p w:rsidR="001E4D78" w:rsidRDefault="001E4D78" w:rsidP="001E4D78">
      <w:pPr>
        <w:spacing w:line="480" w:lineRule="auto"/>
        <w:rPr>
          <w:rFonts w:ascii="Times New Roman" w:eastAsia="Calibri" w:hAnsi="Times New Roman"/>
          <w:sz w:val="24"/>
          <w:szCs w:val="24"/>
        </w:rPr>
      </w:pPr>
      <w:r>
        <w:rPr>
          <w:rFonts w:ascii="Times New Roman" w:eastAsia="Calibri" w:hAnsi="Times New Roman"/>
          <w:sz w:val="24"/>
          <w:szCs w:val="24"/>
        </w:rPr>
        <w:t xml:space="preserve"> </w:t>
      </w:r>
    </w:p>
    <w:p w:rsidR="001E4D78" w:rsidRDefault="001E4D78" w:rsidP="001E4D78">
      <w:pPr>
        <w:spacing w:line="480" w:lineRule="auto"/>
        <w:rPr>
          <w:rFonts w:ascii="Times New Roman" w:eastAsia="Calibri" w:hAnsi="Times New Roman"/>
          <w:sz w:val="24"/>
          <w:szCs w:val="24"/>
        </w:rPr>
      </w:pPr>
      <w:r>
        <w:rPr>
          <w:rFonts w:ascii="Times New Roman" w:eastAsia="Calibri" w:hAnsi="Times New Roman"/>
          <w:sz w:val="24"/>
          <w:szCs w:val="24"/>
        </w:rPr>
        <w:t xml:space="preserve"> </w:t>
      </w:r>
    </w:p>
    <w:p w:rsidR="001E4D78" w:rsidRDefault="001E4D78" w:rsidP="001E4D78">
      <w:pPr>
        <w:spacing w:line="480" w:lineRule="auto"/>
        <w:jc w:val="center"/>
        <w:rPr>
          <w:rFonts w:ascii="Times New Roman" w:eastAsia="Calibri" w:hAnsi="Times New Roman"/>
          <w:sz w:val="24"/>
          <w:szCs w:val="24"/>
        </w:rPr>
      </w:pPr>
      <w:r>
        <w:rPr>
          <w:rFonts w:ascii="Times New Roman" w:eastAsia="Calibri" w:hAnsi="Times New Roman"/>
          <w:sz w:val="24"/>
          <w:szCs w:val="24"/>
        </w:rPr>
        <w:t>EDUNJOBI, HAZEEZ OWOLABI (PG 16/0386)</w:t>
      </w:r>
    </w:p>
    <w:p w:rsidR="001E4D78" w:rsidRDefault="001E4D78" w:rsidP="001E4D78">
      <w:pPr>
        <w:spacing w:line="480" w:lineRule="auto"/>
        <w:jc w:val="center"/>
        <w:rPr>
          <w:rFonts w:ascii="Times New Roman" w:eastAsia="Calibri" w:hAnsi="Times New Roman"/>
          <w:sz w:val="24"/>
          <w:szCs w:val="24"/>
        </w:rPr>
      </w:pPr>
      <w:r>
        <w:rPr>
          <w:rFonts w:ascii="Times New Roman" w:eastAsia="Calibri" w:hAnsi="Times New Roman"/>
          <w:sz w:val="24"/>
          <w:szCs w:val="24"/>
        </w:rPr>
        <w:t>B.Sc., M.Sc., PHYSICS (FUNAAB, ABEOKUTA)</w:t>
      </w:r>
    </w:p>
    <w:p w:rsidR="001E4D78" w:rsidRDefault="001E4D78" w:rsidP="001E4D78">
      <w:pPr>
        <w:rPr>
          <w:rFonts w:ascii="Times New Roman" w:eastAsia="Calibri" w:hAnsi="Times New Roman"/>
          <w:sz w:val="24"/>
          <w:szCs w:val="24"/>
        </w:rPr>
      </w:pPr>
      <w:r>
        <w:rPr>
          <w:rFonts w:ascii="Times New Roman" w:eastAsia="Calibri" w:hAnsi="Times New Roman"/>
          <w:sz w:val="24"/>
          <w:szCs w:val="24"/>
        </w:rPr>
        <w:t xml:space="preserve"> </w:t>
      </w:r>
    </w:p>
    <w:p w:rsidR="001E4D78" w:rsidRDefault="001E4D78" w:rsidP="001E4D78">
      <w:pPr>
        <w:spacing w:line="480" w:lineRule="auto"/>
        <w:jc w:val="both"/>
        <w:rPr>
          <w:rFonts w:ascii="Times New Roman" w:eastAsia="Calibri" w:hAnsi="Times New Roman"/>
          <w:sz w:val="24"/>
          <w:szCs w:val="24"/>
        </w:rPr>
      </w:pPr>
      <w:r>
        <w:rPr>
          <w:rFonts w:ascii="Times New Roman" w:eastAsia="Calibri" w:hAnsi="Times New Roman"/>
          <w:sz w:val="24"/>
          <w:szCs w:val="24"/>
        </w:rPr>
        <w:t xml:space="preserve"> </w:t>
      </w:r>
    </w:p>
    <w:p w:rsidR="001E4D78" w:rsidRDefault="001E4D78" w:rsidP="001E4D78">
      <w:pPr>
        <w:spacing w:line="480" w:lineRule="auto"/>
        <w:jc w:val="both"/>
        <w:rPr>
          <w:rFonts w:ascii="Times New Roman" w:eastAsia="Calibri" w:hAnsi="Times New Roman"/>
          <w:sz w:val="24"/>
          <w:szCs w:val="24"/>
        </w:rPr>
      </w:pPr>
      <w:r>
        <w:rPr>
          <w:rFonts w:ascii="Times New Roman" w:eastAsia="Calibri" w:hAnsi="Times New Roman"/>
          <w:sz w:val="24"/>
          <w:szCs w:val="24"/>
        </w:rPr>
        <w:t xml:space="preserve">A thesis submitted to the Department of Physics, College of Physical Sciences, Federal University of Agriculture, </w:t>
      </w:r>
      <w:proofErr w:type="gramStart"/>
      <w:r>
        <w:rPr>
          <w:rFonts w:ascii="Times New Roman" w:eastAsia="Calibri" w:hAnsi="Times New Roman"/>
          <w:sz w:val="24"/>
          <w:szCs w:val="24"/>
        </w:rPr>
        <w:t>Abeokuta</w:t>
      </w:r>
      <w:proofErr w:type="gramEnd"/>
      <w:r>
        <w:rPr>
          <w:rFonts w:ascii="Times New Roman" w:eastAsia="Calibri" w:hAnsi="Times New Roman"/>
          <w:sz w:val="24"/>
          <w:szCs w:val="24"/>
        </w:rPr>
        <w:t xml:space="preserve"> in partial </w:t>
      </w:r>
      <w:proofErr w:type="spellStart"/>
      <w:r>
        <w:rPr>
          <w:rFonts w:ascii="Times New Roman" w:eastAsia="Calibri" w:hAnsi="Times New Roman"/>
          <w:sz w:val="24"/>
          <w:szCs w:val="24"/>
        </w:rPr>
        <w:t>fulfilment</w:t>
      </w:r>
      <w:proofErr w:type="spellEnd"/>
      <w:r>
        <w:rPr>
          <w:rFonts w:ascii="Times New Roman" w:eastAsia="Calibri" w:hAnsi="Times New Roman"/>
          <w:sz w:val="24"/>
          <w:szCs w:val="24"/>
        </w:rPr>
        <w:t xml:space="preserve"> of the requirements for the award of Doctor of Philosophy in Solid Earth Geophysics.</w:t>
      </w:r>
    </w:p>
    <w:p w:rsidR="001E4D78" w:rsidRDefault="001E4D78" w:rsidP="001E4D78">
      <w:pPr>
        <w:spacing w:line="480" w:lineRule="auto"/>
        <w:jc w:val="both"/>
        <w:rPr>
          <w:rFonts w:ascii="Times New Roman" w:eastAsia="Calibri" w:hAnsi="Times New Roman"/>
          <w:sz w:val="24"/>
          <w:szCs w:val="24"/>
        </w:rPr>
      </w:pPr>
      <w:r>
        <w:rPr>
          <w:rFonts w:ascii="Times New Roman" w:eastAsia="Calibri" w:hAnsi="Times New Roman"/>
          <w:sz w:val="24"/>
          <w:szCs w:val="24"/>
        </w:rPr>
        <w:t xml:space="preserve"> </w:t>
      </w:r>
    </w:p>
    <w:p w:rsidR="001E4D78" w:rsidRDefault="001E4D78" w:rsidP="001E4D78">
      <w:pPr>
        <w:rPr>
          <w:rFonts w:ascii="Times New Roman" w:eastAsia="Calibri" w:hAnsi="Times New Roman"/>
          <w:sz w:val="24"/>
          <w:szCs w:val="24"/>
        </w:rPr>
      </w:pPr>
      <w:r>
        <w:rPr>
          <w:rFonts w:ascii="Times New Roman" w:eastAsia="Calibri" w:hAnsi="Times New Roman"/>
          <w:sz w:val="24"/>
          <w:szCs w:val="24"/>
        </w:rPr>
        <w:t xml:space="preserve"> </w:t>
      </w:r>
    </w:p>
    <w:p w:rsidR="001E4D78" w:rsidRDefault="001E4D78" w:rsidP="001E4D78">
      <w:pPr>
        <w:rPr>
          <w:rFonts w:ascii="Times New Roman" w:eastAsia="Calibri" w:hAnsi="Times New Roman"/>
          <w:sz w:val="24"/>
          <w:szCs w:val="24"/>
        </w:rPr>
      </w:pPr>
      <w:r>
        <w:rPr>
          <w:rFonts w:ascii="Times New Roman" w:eastAsia="Calibri" w:hAnsi="Times New Roman"/>
          <w:sz w:val="24"/>
          <w:szCs w:val="24"/>
        </w:rPr>
        <w:t xml:space="preserve"> </w:t>
      </w:r>
    </w:p>
    <w:p w:rsidR="001E4D78" w:rsidRDefault="001E4D78" w:rsidP="001E4D78">
      <w:pPr>
        <w:jc w:val="right"/>
        <w:rPr>
          <w:rFonts w:ascii="Times New Roman" w:eastAsia="Calibri" w:hAnsi="Times New Roman"/>
          <w:sz w:val="24"/>
          <w:szCs w:val="24"/>
        </w:rPr>
      </w:pPr>
      <w:r>
        <w:rPr>
          <w:rFonts w:ascii="Times New Roman" w:eastAsia="Calibri" w:hAnsi="Times New Roman"/>
          <w:sz w:val="24"/>
          <w:szCs w:val="24"/>
        </w:rPr>
        <w:t>OCTOBER, 2023</w:t>
      </w:r>
    </w:p>
    <w:p w:rsidR="001E4D78" w:rsidRDefault="001E4D78" w:rsidP="001E4D78">
      <w:pPr>
        <w:spacing w:line="480" w:lineRule="auto"/>
        <w:ind w:left="2880" w:firstLine="720"/>
        <w:rPr>
          <w:rFonts w:ascii="Times New Roman" w:eastAsia="Calibri" w:hAnsi="Times New Roman"/>
          <w:bCs/>
          <w:sz w:val="24"/>
          <w:szCs w:val="24"/>
        </w:rPr>
      </w:pPr>
      <w:r>
        <w:rPr>
          <w:rFonts w:ascii="Times New Roman" w:eastAsia="Calibri" w:hAnsi="Times New Roman"/>
          <w:bCs/>
          <w:sz w:val="24"/>
          <w:szCs w:val="24"/>
        </w:rPr>
        <w:lastRenderedPageBreak/>
        <w:t>ABSTRACT</w:t>
      </w:r>
    </w:p>
    <w:p w:rsidR="001E4D78" w:rsidRDefault="001E4D78" w:rsidP="001E4D78">
      <w:pPr>
        <w:spacing w:after="0" w:line="480" w:lineRule="auto"/>
        <w:jc w:val="both"/>
        <w:rPr>
          <w:rFonts w:ascii="Times New Roman" w:eastAsia="Calibri" w:hAnsi="Times New Roman"/>
          <w:sz w:val="24"/>
          <w:szCs w:val="24"/>
        </w:rPr>
      </w:pPr>
      <w:r>
        <w:rPr>
          <w:rFonts w:ascii="Times New Roman" w:eastAsia="Calibri" w:hAnsi="Times New Roman"/>
          <w:sz w:val="24"/>
          <w:szCs w:val="24"/>
        </w:rPr>
        <w:t xml:space="preserve">A widely distributed and large source of fresh water is groundwater, being a renewable natural source with insubstantial evaporation loss, wide distribution and low risk of contamination, playing very vital roles in the environment and human health. In Abeokuta Metropolis where pipe-borne water is out of reach of many people, groundwater becomes the major source of water supply and its exploration in a basement terrain is faced with complex decisions because of its contradictory alternatives. The research aims to evaluate the basement topography of Abeokuta Metropolis to provide a better understanding of the geological features and hydrological indices that support the flow and distribution of groundwater as well as the accumulation of economic mineral deposits. The Multi Criteria Decision Analysis via Analytic Hierarchy Process (MCDA-AHP) is a mathematical based technique employed to correctly predict groundwater by scaling priorities of influencing parameters to make informed economic decisions. Six groundwater influencing factors; coefficient of anisotropy, lineament density, overburden thickness, aquifer thickness, aquifer resistivity and </w:t>
      </w:r>
      <w:proofErr w:type="spellStart"/>
      <w:r>
        <w:rPr>
          <w:rFonts w:ascii="Times New Roman" w:eastAsia="Calibri" w:hAnsi="Times New Roman"/>
          <w:sz w:val="24"/>
          <w:szCs w:val="24"/>
        </w:rPr>
        <w:t>lithology</w:t>
      </w:r>
      <w:proofErr w:type="spellEnd"/>
      <w:r>
        <w:rPr>
          <w:rFonts w:ascii="Times New Roman" w:eastAsia="Calibri" w:hAnsi="Times New Roman"/>
          <w:sz w:val="24"/>
          <w:szCs w:val="24"/>
        </w:rPr>
        <w:t xml:space="preserve"> were integrated to predict groundwater potentials of </w:t>
      </w:r>
      <w:proofErr w:type="spellStart"/>
      <w:r>
        <w:rPr>
          <w:rFonts w:ascii="Times New Roman" w:eastAsia="SimSun" w:hAnsi="Times New Roman"/>
          <w:color w:val="000000"/>
          <w:sz w:val="24"/>
          <w:szCs w:val="24"/>
        </w:rPr>
        <w:t>Odeda</w:t>
      </w:r>
      <w:proofErr w:type="spellEnd"/>
      <w:r>
        <w:rPr>
          <w:rFonts w:ascii="Times New Roman" w:eastAsia="SimSun" w:hAnsi="Times New Roman"/>
          <w:color w:val="000000"/>
          <w:sz w:val="24"/>
          <w:szCs w:val="24"/>
        </w:rPr>
        <w:t xml:space="preserve">, </w:t>
      </w:r>
      <w:proofErr w:type="spellStart"/>
      <w:r>
        <w:rPr>
          <w:rFonts w:ascii="Times New Roman" w:eastAsia="SimSun" w:hAnsi="Times New Roman"/>
          <w:color w:val="000000"/>
          <w:sz w:val="24"/>
          <w:szCs w:val="24"/>
        </w:rPr>
        <w:t>Obafemi</w:t>
      </w:r>
      <w:proofErr w:type="spellEnd"/>
      <w:r>
        <w:rPr>
          <w:rFonts w:ascii="Times New Roman" w:eastAsia="SimSun" w:hAnsi="Times New Roman"/>
          <w:color w:val="000000"/>
          <w:sz w:val="24"/>
          <w:szCs w:val="24"/>
        </w:rPr>
        <w:t xml:space="preserve"> </w:t>
      </w:r>
      <w:proofErr w:type="spellStart"/>
      <w:r>
        <w:rPr>
          <w:rFonts w:ascii="Times New Roman" w:eastAsia="SimSun" w:hAnsi="Times New Roman"/>
          <w:color w:val="000000"/>
          <w:sz w:val="24"/>
          <w:szCs w:val="24"/>
        </w:rPr>
        <w:t>Owode</w:t>
      </w:r>
      <w:proofErr w:type="spellEnd"/>
      <w:r>
        <w:rPr>
          <w:rFonts w:ascii="Times New Roman" w:eastAsia="SimSun" w:hAnsi="Times New Roman"/>
          <w:color w:val="000000"/>
          <w:sz w:val="24"/>
          <w:szCs w:val="24"/>
        </w:rPr>
        <w:t>, Abeokuta North and Abeokuta South Local Government Areas (LGAs)</w:t>
      </w:r>
      <w:r>
        <w:rPr>
          <w:rFonts w:ascii="Times New Roman" w:eastAsia="Calibri" w:hAnsi="Times New Roman"/>
          <w:sz w:val="24"/>
          <w:szCs w:val="24"/>
        </w:rPr>
        <w:t xml:space="preserve">. These parameters were derived from the processing, analysis and interpretation of high resolution aeromagnetic and electrical resistivity data over the study area. The aeromagnetic data was sourced from the Nigerian Geological Survey Agency (NGSA) while the electrical resistivity data was acquired in situ, through </w:t>
      </w:r>
      <w:r>
        <w:rPr>
          <w:rFonts w:ascii="Times New Roman" w:eastAsia="SimSun" w:hAnsi="Times New Roman"/>
          <w:color w:val="000000"/>
          <w:sz w:val="24"/>
          <w:szCs w:val="24"/>
        </w:rPr>
        <w:t>Vertical Electrical Sounding (VES) technique;</w:t>
      </w:r>
      <w:r>
        <w:rPr>
          <w:rFonts w:ascii="Times New Roman" w:eastAsia="Calibri" w:hAnsi="Times New Roman"/>
          <w:sz w:val="24"/>
          <w:szCs w:val="24"/>
        </w:rPr>
        <w:t xml:space="preserve"> at a spacing interval of </w:t>
      </w:r>
      <w:r>
        <w:rPr>
          <w:rFonts w:ascii="Times New Roman" w:eastAsia="SimSun" w:hAnsi="Times New Roman"/>
          <w:color w:val="000000"/>
          <w:sz w:val="24"/>
          <w:szCs w:val="24"/>
        </w:rPr>
        <w:t xml:space="preserve">1000 ± 100 m across parts of the LGAs, representing the research location. Qualitative interpretation of high resolution aeromagnetic data revealed magnetic responses ranging from high-moderate-low signatures which characterized the geology of the study area into Basement, transition and sedimentary zones. Continuous filtering of aeromagnetic maps </w:t>
      </w:r>
      <w:r>
        <w:rPr>
          <w:rFonts w:ascii="Times New Roman" w:eastAsia="SimSun" w:hAnsi="Times New Roman"/>
          <w:color w:val="000000"/>
          <w:sz w:val="24"/>
          <w:szCs w:val="24"/>
        </w:rPr>
        <w:lastRenderedPageBreak/>
        <w:t xml:space="preserve">through two-dimensional fast Fourier transform further delineated various geologic boundaries of the magnetic field. Quantitative interpretations were applied to map the depth to magnetic sources and evaluate subsurface linear structures referred to as lineaments. Spectral Analysis Technique (SAT), Source Parameters Imaging (SPI) and 3D Euler </w:t>
      </w:r>
      <w:proofErr w:type="spellStart"/>
      <w:r>
        <w:rPr>
          <w:rFonts w:ascii="Times New Roman" w:eastAsia="SimSun" w:hAnsi="Times New Roman"/>
          <w:color w:val="000000"/>
          <w:sz w:val="24"/>
          <w:szCs w:val="24"/>
        </w:rPr>
        <w:t>deconvolution</w:t>
      </w:r>
      <w:proofErr w:type="spellEnd"/>
      <w:r>
        <w:rPr>
          <w:rFonts w:ascii="Times New Roman" w:eastAsia="SimSun" w:hAnsi="Times New Roman"/>
          <w:color w:val="000000"/>
          <w:sz w:val="24"/>
          <w:szCs w:val="24"/>
        </w:rPr>
        <w:t xml:space="preserve"> method revealed depth range of 99-340, 133-294 and 150-250 m respectively. These depth results confirmed the presence of near surface intrusive rock minerals like kaolin, feldspar, quartzite, among others. Evaluation of lineaments by CET grid analysis showed the study area to be composed of linear structures predicted to be faults, cracks, fractures, voids and cracks, and their NE-SW orientation is in conformity with the Pan African </w:t>
      </w:r>
      <w:proofErr w:type="spellStart"/>
      <w:r>
        <w:rPr>
          <w:rFonts w:ascii="Times New Roman" w:eastAsia="SimSun" w:hAnsi="Times New Roman"/>
          <w:color w:val="000000"/>
          <w:sz w:val="24"/>
          <w:szCs w:val="24"/>
        </w:rPr>
        <w:t>Orogeny</w:t>
      </w:r>
      <w:proofErr w:type="spellEnd"/>
      <w:r>
        <w:rPr>
          <w:rFonts w:ascii="Times New Roman" w:eastAsia="SimSun" w:hAnsi="Times New Roman"/>
          <w:color w:val="000000"/>
          <w:sz w:val="24"/>
          <w:szCs w:val="24"/>
        </w:rPr>
        <w:t xml:space="preserve">. Interpretation of one hundred and forty four VES data aided computations of </w:t>
      </w:r>
      <w:proofErr w:type="spellStart"/>
      <w:r>
        <w:rPr>
          <w:rFonts w:ascii="Times New Roman" w:eastAsia="SimSun" w:hAnsi="Times New Roman"/>
          <w:color w:val="000000"/>
          <w:sz w:val="24"/>
          <w:szCs w:val="24"/>
        </w:rPr>
        <w:t>hydrogeological</w:t>
      </w:r>
      <w:proofErr w:type="spellEnd"/>
      <w:r>
        <w:rPr>
          <w:rFonts w:ascii="Times New Roman" w:eastAsia="SimSun" w:hAnsi="Times New Roman"/>
          <w:color w:val="000000"/>
          <w:sz w:val="24"/>
          <w:szCs w:val="24"/>
        </w:rPr>
        <w:t xml:space="preserve"> parameters and mapping of </w:t>
      </w:r>
      <w:proofErr w:type="spellStart"/>
      <w:r>
        <w:rPr>
          <w:rFonts w:ascii="Times New Roman" w:eastAsia="SimSun" w:hAnsi="Times New Roman"/>
          <w:color w:val="000000"/>
          <w:sz w:val="24"/>
          <w:szCs w:val="24"/>
        </w:rPr>
        <w:t>lithological</w:t>
      </w:r>
      <w:proofErr w:type="spellEnd"/>
      <w:r>
        <w:rPr>
          <w:rFonts w:ascii="Times New Roman" w:eastAsia="SimSun" w:hAnsi="Times New Roman"/>
          <w:color w:val="000000"/>
          <w:sz w:val="24"/>
          <w:szCs w:val="24"/>
        </w:rPr>
        <w:t xml:space="preserve"> units. Lateritic sequence, sandstones, clay, continental sands, kaolin deposits and Basement rocks that are granitic or magmatic in nature are the </w:t>
      </w:r>
      <w:proofErr w:type="spellStart"/>
      <w:r>
        <w:rPr>
          <w:rFonts w:ascii="Times New Roman" w:eastAsia="SimSun" w:hAnsi="Times New Roman"/>
          <w:color w:val="000000"/>
          <w:sz w:val="24"/>
          <w:szCs w:val="24"/>
        </w:rPr>
        <w:t>lithological</w:t>
      </w:r>
      <w:proofErr w:type="spellEnd"/>
      <w:r>
        <w:rPr>
          <w:rFonts w:ascii="Times New Roman" w:eastAsia="SimSun" w:hAnsi="Times New Roman"/>
          <w:color w:val="000000"/>
          <w:sz w:val="24"/>
          <w:szCs w:val="24"/>
        </w:rPr>
        <w:t xml:space="preserve"> units mapped. The integration of all the groundwater influencing factors using GIS produced a model map that is graded into very low, low, high and very high potentials. Evaluation of the basement topography has demonstrated strong reliability in groundwater potential </w:t>
      </w:r>
      <w:proofErr w:type="spellStart"/>
      <w:r>
        <w:rPr>
          <w:rFonts w:ascii="Times New Roman" w:eastAsia="SimSun" w:hAnsi="Times New Roman"/>
          <w:color w:val="000000"/>
          <w:sz w:val="24"/>
          <w:szCs w:val="24"/>
        </w:rPr>
        <w:t>modelling</w:t>
      </w:r>
      <w:proofErr w:type="spellEnd"/>
      <w:r>
        <w:rPr>
          <w:rFonts w:ascii="Times New Roman" w:eastAsia="SimSun" w:hAnsi="Times New Roman"/>
          <w:color w:val="000000"/>
          <w:sz w:val="24"/>
          <w:szCs w:val="24"/>
        </w:rPr>
        <w:t xml:space="preserve"> and it is recommended that </w:t>
      </w:r>
      <w:r>
        <w:rPr>
          <w:rFonts w:ascii="Times New Roman" w:eastAsia="Calibri" w:hAnsi="Times New Roman"/>
          <w:sz w:val="24"/>
          <w:szCs w:val="24"/>
        </w:rPr>
        <w:t>the results of this research should be adopted as an information framework in making wise investments in Abeokuta Metropolis.</w:t>
      </w:r>
    </w:p>
    <w:p w:rsidR="001E4D78" w:rsidRDefault="001E4D78" w:rsidP="001E4D78">
      <w:pPr>
        <w:spacing w:line="360" w:lineRule="auto"/>
        <w:jc w:val="both"/>
        <w:rPr>
          <w:rFonts w:ascii="Times New Roman" w:eastAsia="Calibri" w:hAnsi="Times New Roman"/>
          <w:sz w:val="24"/>
          <w:szCs w:val="24"/>
        </w:rPr>
      </w:pPr>
      <w:r>
        <w:rPr>
          <w:rFonts w:ascii="Times New Roman" w:eastAsia="Calibri" w:hAnsi="Times New Roman"/>
          <w:sz w:val="24"/>
          <w:szCs w:val="24"/>
        </w:rPr>
        <w:t xml:space="preserve"> </w:t>
      </w:r>
    </w:p>
    <w:p w:rsidR="001E4D78" w:rsidRPr="001E4D78" w:rsidRDefault="001E4D78" w:rsidP="001E4D78">
      <w:pPr>
        <w:spacing w:line="480" w:lineRule="auto"/>
        <w:jc w:val="center"/>
        <w:rPr>
          <w:rFonts w:ascii="Times New Roman" w:eastAsia="Calibri" w:hAnsi="Times New Roman"/>
          <w:sz w:val="24"/>
          <w:szCs w:val="24"/>
        </w:rPr>
      </w:pPr>
    </w:p>
    <w:sectPr w:rsidR="001E4D78" w:rsidRPr="001E4D78" w:rsidSect="009D4C44">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E4D78"/>
    <w:rsid w:val="001E4D78"/>
    <w:rsid w:val="009D4C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4D78"/>
    <w:pPr>
      <w:spacing w:before="100" w:beforeAutospacing="1" w:line="273"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96444789">
      <w:bodyDiv w:val="1"/>
      <w:marLeft w:val="0"/>
      <w:marRight w:val="0"/>
      <w:marTop w:val="0"/>
      <w:marBottom w:val="0"/>
      <w:divBdr>
        <w:top w:val="none" w:sz="0" w:space="0" w:color="auto"/>
        <w:left w:val="none" w:sz="0" w:space="0" w:color="auto"/>
        <w:bottom w:val="none" w:sz="0" w:space="0" w:color="auto"/>
        <w:right w:val="none" w:sz="0" w:space="0" w:color="auto"/>
      </w:divBdr>
    </w:div>
    <w:div w:id="1981569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612</Words>
  <Characters>3491</Characters>
  <Application>Microsoft Office Word</Application>
  <DocSecurity>0</DocSecurity>
  <Lines>29</Lines>
  <Paragraphs>8</Paragraphs>
  <ScaleCrop>false</ScaleCrop>
  <Company/>
  <LinksUpToDate>false</LinksUpToDate>
  <CharactersWithSpaces>4095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2025-11-03T11:46:00Z</dcterms:created>
  <dcterms:modified xsi:type="dcterms:W3CDTF">2025-11-03T11:54:00Z</dcterms:modified>
</cp:coreProperties>
</file>