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0069F" w:rsidRDefault="00B0069F" w:rsidP="00B0069F">
      <w:pPr>
        <w:spacing w:line="480" w:lineRule="auto"/>
        <w:jc w:val="center"/>
        <w:rPr>
          <w:rFonts w:cs="Times New Roman"/>
          <w:b/>
        </w:rPr>
      </w:pPr>
      <w:r>
        <w:rPr>
          <w:rFonts w:cs="Times New Roman"/>
          <w:b/>
        </w:rPr>
        <w:t>HEALTH RISK ASSESSMENT OF HEAVY METALS AND MICROBIAL CONTAMINATION LEVELS IN SELECTED PROCESSED VEGETABLES IN ILORIN, KWARA STATE/ NIGERIA.</w:t>
      </w:r>
    </w:p>
    <w:p w:rsidR="00B0069F" w:rsidRDefault="00B0069F" w:rsidP="00B0069F">
      <w:pPr>
        <w:pStyle w:val="Heading1"/>
        <w:rPr>
          <w:color w:val="FFFFFF"/>
          <w:kern w:val="36"/>
        </w:rPr>
      </w:pPr>
      <w:r>
        <w:rPr>
          <w:color w:val="FFFFFF"/>
          <w:kern w:val="36"/>
        </w:rPr>
        <w:t>TITLE PAGE</w:t>
      </w:r>
    </w:p>
    <w:p w:rsidR="00B0069F" w:rsidRDefault="00B0069F" w:rsidP="00B0069F">
      <w:pPr>
        <w:spacing w:line="480" w:lineRule="auto"/>
        <w:jc w:val="center"/>
        <w:rPr>
          <w:rFonts w:cs="Times New Roman"/>
        </w:rPr>
      </w:pPr>
      <w:r>
        <w:rPr>
          <w:rFonts w:cs="Times New Roman"/>
        </w:rPr>
        <w:t xml:space="preserve"> </w:t>
      </w:r>
    </w:p>
    <w:p w:rsidR="00B0069F" w:rsidRDefault="00B0069F" w:rsidP="00B0069F">
      <w:pPr>
        <w:spacing w:line="480" w:lineRule="auto"/>
        <w:jc w:val="center"/>
        <w:rPr>
          <w:rFonts w:cs="Times New Roman"/>
          <w:b/>
        </w:rPr>
      </w:pPr>
      <w:r>
        <w:rPr>
          <w:rFonts w:cs="Times New Roman"/>
          <w:b/>
        </w:rPr>
        <w:t>BY</w:t>
      </w:r>
    </w:p>
    <w:p w:rsidR="00B0069F" w:rsidRDefault="00B0069F" w:rsidP="00B0069F">
      <w:pPr>
        <w:spacing w:line="480" w:lineRule="auto"/>
        <w:ind w:left="3600" w:firstLine="720"/>
        <w:jc w:val="center"/>
        <w:rPr>
          <w:rFonts w:cs="Times New Roman"/>
          <w:b/>
        </w:rPr>
      </w:pPr>
      <w:r>
        <w:rPr>
          <w:rFonts w:cs="Times New Roman"/>
          <w:b/>
        </w:rPr>
        <w:t xml:space="preserve"> </w:t>
      </w:r>
    </w:p>
    <w:p w:rsidR="00B0069F" w:rsidRDefault="00B0069F" w:rsidP="00B0069F">
      <w:pPr>
        <w:spacing w:line="480" w:lineRule="auto"/>
        <w:jc w:val="center"/>
        <w:rPr>
          <w:rFonts w:cs="Times New Roman"/>
          <w:b/>
        </w:rPr>
      </w:pPr>
      <w:r>
        <w:rPr>
          <w:rFonts w:cs="Times New Roman"/>
          <w:b/>
        </w:rPr>
        <w:t>ODOFIN EDWARD OLUWAFERANMI</w:t>
      </w:r>
    </w:p>
    <w:p w:rsidR="00B0069F" w:rsidRDefault="00B0069F" w:rsidP="00B0069F">
      <w:pPr>
        <w:spacing w:line="480" w:lineRule="auto"/>
        <w:jc w:val="center"/>
        <w:rPr>
          <w:rFonts w:cs="Times New Roman"/>
          <w:b/>
        </w:rPr>
      </w:pPr>
      <w:r>
        <w:rPr>
          <w:rFonts w:cs="Times New Roman"/>
          <w:b/>
        </w:rPr>
        <w:t>MATRIC:  PG19/0087</w:t>
      </w:r>
    </w:p>
    <w:p w:rsidR="00B0069F" w:rsidRDefault="00B0069F" w:rsidP="00B0069F">
      <w:pPr>
        <w:spacing w:line="480" w:lineRule="auto"/>
        <w:jc w:val="center"/>
        <w:rPr>
          <w:rFonts w:cs="Times New Roman"/>
          <w:b/>
        </w:rPr>
      </w:pPr>
      <w:r>
        <w:rPr>
          <w:rFonts w:cs="Times New Roman"/>
          <w:b/>
        </w:rPr>
        <w:t>(</w:t>
      </w:r>
      <w:proofErr w:type="spellStart"/>
      <w:r>
        <w:rPr>
          <w:rFonts w:cs="Times New Roman"/>
          <w:b/>
        </w:rPr>
        <w:t>BSc</w:t>
      </w:r>
      <w:proofErr w:type="spellEnd"/>
      <w:r>
        <w:rPr>
          <w:rFonts w:cs="Times New Roman"/>
          <w:b/>
        </w:rPr>
        <w:t>, ILORIN)</w:t>
      </w:r>
    </w:p>
    <w:p w:rsidR="00B0069F" w:rsidRDefault="00B0069F" w:rsidP="00B0069F">
      <w:pPr>
        <w:spacing w:line="480" w:lineRule="auto"/>
        <w:ind w:left="2160" w:firstLine="720"/>
        <w:jc w:val="center"/>
        <w:rPr>
          <w:rFonts w:cs="Times New Roman"/>
          <w:b/>
        </w:rPr>
      </w:pPr>
      <w:r>
        <w:rPr>
          <w:rFonts w:cs="Times New Roman"/>
          <w:b/>
        </w:rPr>
        <w:t xml:space="preserve"> </w:t>
      </w:r>
    </w:p>
    <w:p w:rsidR="00B0069F" w:rsidRDefault="00B0069F" w:rsidP="00B0069F">
      <w:pPr>
        <w:spacing w:line="480" w:lineRule="auto"/>
        <w:jc w:val="center"/>
        <w:rPr>
          <w:rFonts w:cs="Times New Roman"/>
          <w:b/>
        </w:rPr>
      </w:pPr>
      <w:r>
        <w:rPr>
          <w:rFonts w:cs="Times New Roman"/>
          <w:b/>
        </w:rPr>
        <w:t>COLLEGE OF ENVIRONMENT AND RESOURCE MANAGEMENT</w:t>
      </w:r>
    </w:p>
    <w:p w:rsidR="00B0069F" w:rsidRDefault="00B0069F" w:rsidP="00B0069F">
      <w:pPr>
        <w:spacing w:line="480" w:lineRule="auto"/>
        <w:jc w:val="center"/>
        <w:rPr>
          <w:rFonts w:cs="Times New Roman"/>
          <w:b/>
        </w:rPr>
      </w:pPr>
      <w:proofErr w:type="gramStart"/>
      <w:r>
        <w:rPr>
          <w:rFonts w:cs="Times New Roman"/>
          <w:b/>
        </w:rPr>
        <w:t>FEDERAL UNIVERSITY OF AGRICULTURE, ABEOKUTA.</w:t>
      </w:r>
      <w:proofErr w:type="gramEnd"/>
    </w:p>
    <w:p w:rsidR="009D4C44" w:rsidRDefault="009D4C44"/>
    <w:p w:rsidR="00B0069F" w:rsidRDefault="00B0069F"/>
    <w:p w:rsidR="00B0069F" w:rsidRDefault="00B0069F"/>
    <w:p w:rsidR="00B0069F" w:rsidRDefault="00B0069F"/>
    <w:p w:rsidR="00B0069F" w:rsidRPr="00B0069F" w:rsidRDefault="00B0069F">
      <w:pPr>
        <w:rPr>
          <w:b/>
        </w:rPr>
      </w:pPr>
      <w:r>
        <w:tab/>
      </w:r>
      <w:r>
        <w:tab/>
      </w:r>
      <w:r>
        <w:tab/>
      </w:r>
      <w:r>
        <w:tab/>
      </w:r>
      <w:r>
        <w:tab/>
      </w:r>
      <w:r>
        <w:tab/>
      </w:r>
      <w:r>
        <w:tab/>
      </w:r>
      <w:r>
        <w:tab/>
      </w:r>
      <w:r>
        <w:tab/>
      </w:r>
      <w:r>
        <w:tab/>
      </w:r>
      <w:r w:rsidRPr="00B0069F">
        <w:rPr>
          <w:b/>
        </w:rPr>
        <w:t>November, 2023</w:t>
      </w:r>
    </w:p>
    <w:p w:rsidR="00B0069F" w:rsidRDefault="00B0069F" w:rsidP="00B0069F">
      <w:pPr>
        <w:pStyle w:val="Heading1"/>
        <w:rPr>
          <w:kern w:val="36"/>
        </w:rPr>
      </w:pPr>
      <w:r>
        <w:rPr>
          <w:kern w:val="36"/>
        </w:rPr>
        <w:lastRenderedPageBreak/>
        <w:t>ABSTRACT</w:t>
      </w:r>
    </w:p>
    <w:p w:rsidR="00B0069F" w:rsidRDefault="00B0069F" w:rsidP="00B0069F">
      <w:pPr>
        <w:spacing w:line="480" w:lineRule="auto"/>
        <w:jc w:val="both"/>
      </w:pPr>
      <w:r>
        <w:t xml:space="preserve">Processed vegetables are staple foods within Nigeria, serving as an all-year-round source of vitamins and </w:t>
      </w:r>
      <w:proofErr w:type="spellStart"/>
      <w:r>
        <w:t>fibre</w:t>
      </w:r>
      <w:proofErr w:type="spellEnd"/>
      <w:r>
        <w:t xml:space="preserve"> to consumers. Processing methods like sun drying can expose them to heavy metal and microbial contamination. This study assessed the health risk of heavy metals (HM) and microbial contamination in selected major processed vegetables through sun-drying consumed within Ilorin, </w:t>
      </w:r>
      <w:proofErr w:type="spellStart"/>
      <w:r>
        <w:t>Kwara</w:t>
      </w:r>
      <w:proofErr w:type="spellEnd"/>
      <w:r>
        <w:t xml:space="preserve"> State, Nigeria. Vegetable samples such as; </w:t>
      </w:r>
      <w:proofErr w:type="spellStart"/>
      <w:r>
        <w:t>Adansonia</w:t>
      </w:r>
      <w:proofErr w:type="spellEnd"/>
      <w:r>
        <w:t xml:space="preserve"> </w:t>
      </w:r>
      <w:proofErr w:type="spellStart"/>
      <w:r>
        <w:t>digitata</w:t>
      </w:r>
      <w:proofErr w:type="spellEnd"/>
      <w:r>
        <w:t xml:space="preserve"> (</w:t>
      </w:r>
      <w:proofErr w:type="spellStart"/>
      <w:r>
        <w:t>Luru</w:t>
      </w:r>
      <w:proofErr w:type="spellEnd"/>
      <w:r>
        <w:t xml:space="preserve">), </w:t>
      </w:r>
      <w:proofErr w:type="spellStart"/>
      <w:r>
        <w:t>Cayennes</w:t>
      </w:r>
      <w:proofErr w:type="spellEnd"/>
      <w:r>
        <w:t xml:space="preserve"> </w:t>
      </w:r>
      <w:proofErr w:type="spellStart"/>
      <w:r>
        <w:t>frutescens</w:t>
      </w:r>
      <w:proofErr w:type="spellEnd"/>
      <w:r>
        <w:t xml:space="preserve"> (</w:t>
      </w:r>
      <w:proofErr w:type="spellStart"/>
      <w:r>
        <w:t>Shombo</w:t>
      </w:r>
      <w:proofErr w:type="spellEnd"/>
      <w:r>
        <w:t xml:space="preserve">), and </w:t>
      </w:r>
      <w:proofErr w:type="spellStart"/>
      <w:r>
        <w:t>Abelmoschus</w:t>
      </w:r>
      <w:proofErr w:type="spellEnd"/>
      <w:r>
        <w:t xml:space="preserve"> </w:t>
      </w:r>
      <w:proofErr w:type="spellStart"/>
      <w:r>
        <w:t>esculentus</w:t>
      </w:r>
      <w:proofErr w:type="spellEnd"/>
      <w:r>
        <w:t xml:space="preserve"> (</w:t>
      </w:r>
      <w:proofErr w:type="spellStart"/>
      <w:r>
        <w:t>Orunla</w:t>
      </w:r>
      <w:proofErr w:type="spellEnd"/>
      <w:r>
        <w:t>) were collected from three popular markets (</w:t>
      </w:r>
      <w:proofErr w:type="spellStart"/>
      <w:r>
        <w:t>Oja</w:t>
      </w:r>
      <w:proofErr w:type="spellEnd"/>
      <w:r>
        <w:t xml:space="preserve"> Oba, </w:t>
      </w:r>
      <w:proofErr w:type="spellStart"/>
      <w:r>
        <w:t>Ipata</w:t>
      </w:r>
      <w:proofErr w:type="spellEnd"/>
      <w:r>
        <w:t xml:space="preserve"> and </w:t>
      </w:r>
      <w:proofErr w:type="spellStart"/>
      <w:r>
        <w:t>Oja</w:t>
      </w:r>
      <w:proofErr w:type="spellEnd"/>
      <w:r>
        <w:t xml:space="preserve"> </w:t>
      </w:r>
      <w:proofErr w:type="spellStart"/>
      <w:r>
        <w:t>Tuntun</w:t>
      </w:r>
      <w:proofErr w:type="spellEnd"/>
      <w:r>
        <w:t xml:space="preserve">) in Ilorin. Ground and sieved vegetable samples were digested with </w:t>
      </w:r>
      <w:proofErr w:type="spellStart"/>
      <w:r>
        <w:t>perchloric</w:t>
      </w:r>
      <w:proofErr w:type="spellEnd"/>
      <w:r>
        <w:t xml:space="preserve"> and nitric acid and </w:t>
      </w:r>
      <w:proofErr w:type="spellStart"/>
      <w:r>
        <w:t>analysed</w:t>
      </w:r>
      <w:proofErr w:type="spellEnd"/>
      <w:r>
        <w:t xml:space="preserve"> for HMs (</w:t>
      </w:r>
      <w:proofErr w:type="spellStart"/>
      <w:r>
        <w:t>Pb</w:t>
      </w:r>
      <w:proofErr w:type="spellEnd"/>
      <w:r>
        <w:t xml:space="preserve">, </w:t>
      </w:r>
      <w:proofErr w:type="spellStart"/>
      <w:r>
        <w:t>Cd</w:t>
      </w:r>
      <w:proofErr w:type="spellEnd"/>
      <w:r>
        <w:t xml:space="preserve">, Cr, Fe, Zn, and Cu) using Atomic Absorption </w:t>
      </w:r>
      <w:proofErr w:type="spellStart"/>
      <w:r>
        <w:t>Spectrophotometry</w:t>
      </w:r>
      <w:proofErr w:type="spellEnd"/>
      <w:r>
        <w:t>. Microbial assessment was carried out for Total Bacteria Count (TBC) and Total Fungi count (TFC) using standard procedures. Identification was based on biochemical analysis for bacteria and largely on morphological characteristics for fungi. Data collected were analyzed using descriptive and inferential statistics. The health risk associated with consumption of the processed vegetable with respect to their heavy metal contents was assessed using the estimated daily intake, total hazard quotient, and hazard index (HI). The analysis of heavy metals (</w:t>
      </w:r>
      <w:proofErr w:type="spellStart"/>
      <w:r>
        <w:t>Pb</w:t>
      </w:r>
      <w:proofErr w:type="spellEnd"/>
      <w:r>
        <w:t xml:space="preserve">, </w:t>
      </w:r>
      <w:proofErr w:type="spellStart"/>
      <w:r>
        <w:t>Cd</w:t>
      </w:r>
      <w:proofErr w:type="spellEnd"/>
      <w:r>
        <w:t xml:space="preserve">, Cr, </w:t>
      </w:r>
      <w:proofErr w:type="gramStart"/>
      <w:r>
        <w:t>Zn</w:t>
      </w:r>
      <w:proofErr w:type="gramEnd"/>
      <w:r>
        <w:t>) in vegetables (</w:t>
      </w:r>
      <w:proofErr w:type="spellStart"/>
      <w:r>
        <w:t>Orunla</w:t>
      </w:r>
      <w:proofErr w:type="spellEnd"/>
      <w:r>
        <w:t xml:space="preserve">, </w:t>
      </w:r>
      <w:proofErr w:type="spellStart"/>
      <w:r>
        <w:t>Luru</w:t>
      </w:r>
      <w:proofErr w:type="spellEnd"/>
      <w:r>
        <w:t xml:space="preserve">, Ata </w:t>
      </w:r>
      <w:proofErr w:type="spellStart"/>
      <w:r>
        <w:t>gigun</w:t>
      </w:r>
      <w:proofErr w:type="spellEnd"/>
      <w:r>
        <w:t xml:space="preserve">) from different markets (Oba, </w:t>
      </w:r>
      <w:proofErr w:type="spellStart"/>
      <w:r>
        <w:t>Tuntun</w:t>
      </w:r>
      <w:proofErr w:type="spellEnd"/>
      <w:r>
        <w:t xml:space="preserve">, </w:t>
      </w:r>
      <w:proofErr w:type="spellStart"/>
      <w:r>
        <w:t>Ipata</w:t>
      </w:r>
      <w:proofErr w:type="spellEnd"/>
      <w:r>
        <w:t xml:space="preserve">) revealed significant variations in the results. </w:t>
      </w:r>
      <w:proofErr w:type="spellStart"/>
      <w:r>
        <w:t>Abelmoschus</w:t>
      </w:r>
      <w:proofErr w:type="spellEnd"/>
      <w:r>
        <w:t xml:space="preserve"> </w:t>
      </w:r>
      <w:proofErr w:type="spellStart"/>
      <w:r>
        <w:t>esculentus</w:t>
      </w:r>
      <w:proofErr w:type="spellEnd"/>
      <w:r>
        <w:t xml:space="preserve"> had the highest levels of </w:t>
      </w:r>
      <w:proofErr w:type="spellStart"/>
      <w:r>
        <w:t>Pb</w:t>
      </w:r>
      <w:proofErr w:type="spellEnd"/>
      <w:r>
        <w:t xml:space="preserve"> (</w:t>
      </w:r>
      <w:proofErr w:type="spellStart"/>
      <w:r>
        <w:t>Tuntun</w:t>
      </w:r>
      <w:proofErr w:type="spellEnd"/>
      <w:r>
        <w:t xml:space="preserve">: 12.26±1.71 mg/kg), </w:t>
      </w:r>
      <w:proofErr w:type="spellStart"/>
      <w:r>
        <w:t>Cd</w:t>
      </w:r>
      <w:proofErr w:type="spellEnd"/>
      <w:r>
        <w:t xml:space="preserve"> (</w:t>
      </w:r>
      <w:proofErr w:type="spellStart"/>
      <w:r>
        <w:t>Tuntun</w:t>
      </w:r>
      <w:proofErr w:type="spellEnd"/>
      <w:r>
        <w:t>: 1.42±0.25 mg/kg), Cr (</w:t>
      </w:r>
      <w:proofErr w:type="spellStart"/>
      <w:r>
        <w:t>Tuntun</w:t>
      </w:r>
      <w:proofErr w:type="spellEnd"/>
      <w:r>
        <w:t>: 1.42±0.25 mg/kg), and Zn (</w:t>
      </w:r>
      <w:proofErr w:type="spellStart"/>
      <w:r>
        <w:t>Tuntun</w:t>
      </w:r>
      <w:proofErr w:type="spellEnd"/>
      <w:r>
        <w:t xml:space="preserve">: 71.31±4.37 mg/kg). </w:t>
      </w:r>
      <w:proofErr w:type="spellStart"/>
      <w:r>
        <w:t>Adansonia</w:t>
      </w:r>
      <w:proofErr w:type="spellEnd"/>
      <w:r>
        <w:t xml:space="preserve"> </w:t>
      </w:r>
      <w:proofErr w:type="spellStart"/>
      <w:r>
        <w:t>digitata</w:t>
      </w:r>
      <w:proofErr w:type="spellEnd"/>
      <w:r>
        <w:t xml:space="preserve"> exhibited the highest concentrations of </w:t>
      </w:r>
      <w:proofErr w:type="spellStart"/>
      <w:r>
        <w:t>Pb</w:t>
      </w:r>
      <w:proofErr w:type="spellEnd"/>
      <w:r>
        <w:t xml:space="preserve"> (</w:t>
      </w:r>
      <w:proofErr w:type="spellStart"/>
      <w:r>
        <w:t>Ipata</w:t>
      </w:r>
      <w:proofErr w:type="spellEnd"/>
      <w:r>
        <w:t xml:space="preserve">: 18.20±18.72 mg/kg), </w:t>
      </w:r>
      <w:proofErr w:type="spellStart"/>
      <w:r>
        <w:t>Cd</w:t>
      </w:r>
      <w:proofErr w:type="spellEnd"/>
      <w:r>
        <w:t xml:space="preserve"> (</w:t>
      </w:r>
      <w:proofErr w:type="spellStart"/>
      <w:r>
        <w:t>Tuntun</w:t>
      </w:r>
      <w:proofErr w:type="spellEnd"/>
      <w:r>
        <w:t>: 2.24±0.15 mg/kg), Cr (</w:t>
      </w:r>
      <w:proofErr w:type="spellStart"/>
      <w:r>
        <w:t>Ipata</w:t>
      </w:r>
      <w:proofErr w:type="spellEnd"/>
      <w:r>
        <w:t>: 0.86±0.45 mg/kg), and Zn (</w:t>
      </w:r>
      <w:proofErr w:type="spellStart"/>
      <w:r>
        <w:t>Ipata</w:t>
      </w:r>
      <w:proofErr w:type="spellEnd"/>
      <w:r>
        <w:t xml:space="preserve">: 62.39±3.25 mg/kg). C. </w:t>
      </w:r>
      <w:proofErr w:type="spellStart"/>
      <w:r>
        <w:t>frutescens</w:t>
      </w:r>
      <w:proofErr w:type="spellEnd"/>
      <w:r>
        <w:t xml:space="preserve"> showed the highest levels of </w:t>
      </w:r>
      <w:proofErr w:type="spellStart"/>
      <w:r>
        <w:t>Pb</w:t>
      </w:r>
      <w:proofErr w:type="spellEnd"/>
      <w:r>
        <w:t xml:space="preserve"> (</w:t>
      </w:r>
      <w:proofErr w:type="spellStart"/>
      <w:r>
        <w:t>Tuntun</w:t>
      </w:r>
      <w:proofErr w:type="spellEnd"/>
      <w:r>
        <w:t xml:space="preserve">: 15.97±2.06 mg/kg), </w:t>
      </w:r>
      <w:proofErr w:type="spellStart"/>
      <w:r>
        <w:t>Cd</w:t>
      </w:r>
      <w:proofErr w:type="spellEnd"/>
      <w:r>
        <w:t xml:space="preserve"> (</w:t>
      </w:r>
      <w:proofErr w:type="spellStart"/>
      <w:r>
        <w:t>Tuntun</w:t>
      </w:r>
      <w:proofErr w:type="spellEnd"/>
      <w:r>
        <w:t>: 2.72±0.16 mg/kg), Cr (</w:t>
      </w:r>
      <w:proofErr w:type="spellStart"/>
      <w:r>
        <w:t>Ipata</w:t>
      </w:r>
      <w:proofErr w:type="spellEnd"/>
      <w:r>
        <w:t>: 1.47±0.26 mg/kg), and Zn (</w:t>
      </w:r>
      <w:proofErr w:type="spellStart"/>
      <w:r>
        <w:t>Ipata</w:t>
      </w:r>
      <w:proofErr w:type="spellEnd"/>
      <w:r>
        <w:t xml:space="preserve">: </w:t>
      </w:r>
      <w:r>
        <w:lastRenderedPageBreak/>
        <w:t xml:space="preserve">68.12±6.18 mg/kg) at a significance level of P&lt;0.05.The order of abundance of HMs in vegetables was consistent at these markets and are as follows: Fe &gt; Zn &gt; Cu &gt; </w:t>
      </w:r>
      <w:proofErr w:type="spellStart"/>
      <w:r>
        <w:t>Pb</w:t>
      </w:r>
      <w:proofErr w:type="spellEnd"/>
      <w:r>
        <w:t xml:space="preserve"> &gt; Cr &gt; </w:t>
      </w:r>
      <w:proofErr w:type="spellStart"/>
      <w:r>
        <w:t>Cd</w:t>
      </w:r>
      <w:proofErr w:type="spellEnd"/>
      <w:r>
        <w:t>. The concentrations of HMs (</w:t>
      </w:r>
      <w:proofErr w:type="spellStart"/>
      <w:r>
        <w:t>Pb</w:t>
      </w:r>
      <w:proofErr w:type="spellEnd"/>
      <w:r>
        <w:t xml:space="preserve"> and </w:t>
      </w:r>
      <w:proofErr w:type="spellStart"/>
      <w:r>
        <w:t>Cd</w:t>
      </w:r>
      <w:proofErr w:type="spellEnd"/>
      <w:r>
        <w:t xml:space="preserve">) exceeded the maximum permissible limits (0.3 and 0.2 mg/kg, respectively) of FAO/WHO. The microbial analysis revealed the presence of </w:t>
      </w:r>
      <w:proofErr w:type="spellStart"/>
      <w:r>
        <w:t>coliforms</w:t>
      </w:r>
      <w:proofErr w:type="spellEnd"/>
      <w:r>
        <w:t xml:space="preserve">, Bacillus species, and </w:t>
      </w:r>
      <w:proofErr w:type="spellStart"/>
      <w:r>
        <w:t>Aspergillus</w:t>
      </w:r>
      <w:proofErr w:type="spellEnd"/>
      <w:r>
        <w:t xml:space="preserve"> </w:t>
      </w:r>
      <w:proofErr w:type="spellStart"/>
      <w:r>
        <w:t>flavus</w:t>
      </w:r>
      <w:proofErr w:type="spellEnd"/>
      <w:r>
        <w:t xml:space="preserve">. The TBC for the three vegetable samples from Oba market ranged from 1.5 × 106 to 4.0 × 106 </w:t>
      </w:r>
      <w:proofErr w:type="spellStart"/>
      <w:r>
        <w:t>Cfu</w:t>
      </w:r>
      <w:proofErr w:type="spellEnd"/>
      <w:r>
        <w:t xml:space="preserve">/g and the TFC ranged between 0.1× 106 </w:t>
      </w:r>
      <w:proofErr w:type="spellStart"/>
      <w:r>
        <w:t>Cfu</w:t>
      </w:r>
      <w:proofErr w:type="spellEnd"/>
      <w:r>
        <w:t xml:space="preserve">/g to 0.4 × 106 </w:t>
      </w:r>
      <w:proofErr w:type="spellStart"/>
      <w:r>
        <w:t>Cfu</w:t>
      </w:r>
      <w:proofErr w:type="spellEnd"/>
      <w:r>
        <w:t xml:space="preserve">/g. In conclusion, the presence of </w:t>
      </w:r>
      <w:proofErr w:type="spellStart"/>
      <w:r>
        <w:t>coliforms</w:t>
      </w:r>
      <w:proofErr w:type="spellEnd"/>
      <w:r>
        <w:t xml:space="preserve"> and pathogenic fungi in the samples raises concerns about food safety and thus emphasizes the critical need for improved practices in processing vegetables especially through sun-drying. The HI values were greater than the permissible level of 1.0 indicating the potential non-carcinogenic adverse health effects for consumers. The Target Hazard Quotient values for </w:t>
      </w:r>
      <w:proofErr w:type="spellStart"/>
      <w:r>
        <w:t>Cd</w:t>
      </w:r>
      <w:proofErr w:type="spellEnd"/>
      <w:r>
        <w:t xml:space="preserve"> and </w:t>
      </w:r>
      <w:proofErr w:type="spellStart"/>
      <w:r>
        <w:t>Pb</w:t>
      </w:r>
      <w:proofErr w:type="spellEnd"/>
      <w:r>
        <w:t xml:space="preserve"> were greater than 1.0 in all the vegetable samples indicating potential health risk associated with the consumption of these vegetables. This study revealed potential health risks associated with eating sun-dried vegetables in the study area.   </w:t>
      </w:r>
    </w:p>
    <w:p w:rsidR="00B0069F" w:rsidRDefault="00B0069F"/>
    <w:sectPr w:rsidR="00B0069F" w:rsidSect="009D4C44">
      <w:pgSz w:w="12240" w:h="15840"/>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B0069F"/>
    <w:rsid w:val="009D4C44"/>
    <w:rsid w:val="00B0069F"/>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0069F"/>
    <w:pPr>
      <w:spacing w:before="100" w:beforeAutospacing="1" w:after="160" w:line="256" w:lineRule="auto"/>
    </w:pPr>
    <w:rPr>
      <w:rFonts w:ascii="Times New Roman" w:eastAsia="SimSun" w:hAnsi="Times New Roman" w:cs="SimSun"/>
      <w:sz w:val="24"/>
      <w:szCs w:val="24"/>
    </w:rPr>
  </w:style>
  <w:style w:type="paragraph" w:styleId="Heading1">
    <w:name w:val="heading 1"/>
    <w:basedOn w:val="Normal"/>
    <w:next w:val="Normal"/>
    <w:link w:val="Heading1Char"/>
    <w:uiPriority w:val="99"/>
    <w:qFormat/>
    <w:rsid w:val="00B0069F"/>
    <w:pPr>
      <w:keepNext/>
      <w:keepLines/>
      <w:widowControl w:val="0"/>
      <w:spacing w:before="240" w:beforeAutospacing="0" w:after="240" w:line="273" w:lineRule="auto"/>
      <w:jc w:val="center"/>
      <w:outlineLvl w:val="0"/>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B0069F"/>
    <w:rPr>
      <w:rFonts w:ascii="Times New Roman" w:eastAsia="SimSun" w:hAnsi="Times New Roman" w:cs="SimSun"/>
      <w:b/>
      <w:sz w:val="24"/>
      <w:szCs w:val="24"/>
    </w:rPr>
  </w:style>
</w:styles>
</file>

<file path=word/webSettings.xml><?xml version="1.0" encoding="utf-8"?>
<w:webSettings xmlns:r="http://schemas.openxmlformats.org/officeDocument/2006/relationships" xmlns:w="http://schemas.openxmlformats.org/wordprocessingml/2006/main">
  <w:divs>
    <w:div w:id="1098601153">
      <w:bodyDiv w:val="1"/>
      <w:marLeft w:val="0"/>
      <w:marRight w:val="0"/>
      <w:marTop w:val="0"/>
      <w:marBottom w:val="0"/>
      <w:divBdr>
        <w:top w:val="none" w:sz="0" w:space="0" w:color="auto"/>
        <w:left w:val="none" w:sz="0" w:space="0" w:color="auto"/>
        <w:bottom w:val="none" w:sz="0" w:space="0" w:color="auto"/>
        <w:right w:val="none" w:sz="0" w:space="0" w:color="auto"/>
      </w:divBdr>
    </w:div>
    <w:div w:id="1190097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3</Pages>
  <Words>533</Words>
  <Characters>3039</Characters>
  <Application>Microsoft Office Word</Application>
  <DocSecurity>0</DocSecurity>
  <Lines>25</Lines>
  <Paragraphs>7</Paragraphs>
  <ScaleCrop>false</ScaleCrop>
  <Company/>
  <LinksUpToDate>false</LinksUpToDate>
  <CharactersWithSpaces>3565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2025-11-03T11:56:00Z</dcterms:created>
  <dcterms:modified xsi:type="dcterms:W3CDTF">2025-11-03T11:59:00Z</dcterms:modified>
</cp:coreProperties>
</file>