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DB9" w:rsidRPr="00602185" w:rsidRDefault="00741DB9" w:rsidP="00741DB9">
      <w:pPr>
        <w:pStyle w:val="Default"/>
        <w:spacing w:line="480" w:lineRule="auto"/>
        <w:jc w:val="center"/>
        <w:rPr>
          <w:color w:val="auto"/>
        </w:rPr>
      </w:pPr>
      <w:r w:rsidRPr="00602185">
        <w:rPr>
          <w:lang w:val="en-GB"/>
        </w:rPr>
        <w:t xml:space="preserve">NUMERICAL MODELLING OF THE HYDRODYNAMICS, HEAT TRANSPORT AND EVAPORATION OF ALUMINA NANOPARTICLES-BIODIESEL </w:t>
      </w:r>
      <w:proofErr w:type="gramStart"/>
      <w:r w:rsidRPr="00602185">
        <w:rPr>
          <w:lang w:val="en-GB"/>
        </w:rPr>
        <w:t>SURROGATE  DROPLET</w:t>
      </w:r>
      <w:proofErr w:type="gramEnd"/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  <w:r w:rsidRPr="00602185">
        <w:rPr>
          <w:color w:val="auto"/>
        </w:rPr>
        <w:t>BY</w:t>
      </w: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  <w:r w:rsidRPr="00602185">
        <w:rPr>
          <w:color w:val="auto"/>
        </w:rPr>
        <w:t>OLAMIDE, OLALEKAN OLAOLUWA</w:t>
      </w: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  <w:r w:rsidRPr="00602185">
        <w:rPr>
          <w:color w:val="auto"/>
        </w:rPr>
        <w:t>B.Sc. (OOU, IBOGUN), M.Sc. (UNILAG, LAGOS)</w:t>
      </w: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color w:val="auto"/>
        </w:rPr>
      </w:pPr>
    </w:p>
    <w:p w:rsidR="00741DB9" w:rsidRPr="00602185" w:rsidRDefault="00741DB9" w:rsidP="00741DB9">
      <w:pPr>
        <w:pStyle w:val="Default"/>
        <w:spacing w:line="480" w:lineRule="auto"/>
        <w:jc w:val="center"/>
        <w:rPr>
          <w:color w:val="auto"/>
        </w:rPr>
      </w:pPr>
      <w:r w:rsidRPr="00602185">
        <w:rPr>
          <w:color w:val="auto"/>
        </w:rPr>
        <w:t xml:space="preserve">A Thesis submitted to the Department of Mechanical Engineering, College of Engineering, Federal University of Agriculture, </w:t>
      </w:r>
      <w:proofErr w:type="gramStart"/>
      <w:r w:rsidRPr="00602185">
        <w:rPr>
          <w:color w:val="auto"/>
        </w:rPr>
        <w:t>Abeokuta</w:t>
      </w:r>
      <w:proofErr w:type="gramEnd"/>
      <w:r w:rsidRPr="00602185">
        <w:rPr>
          <w:color w:val="auto"/>
        </w:rPr>
        <w:t xml:space="preserve"> in partial fulfillment of the requirements for the award of Doctor of Philosophy in </w:t>
      </w:r>
      <w:proofErr w:type="spellStart"/>
      <w:r w:rsidRPr="00602185">
        <w:rPr>
          <w:color w:val="auto"/>
        </w:rPr>
        <w:t>Thermofluids</w:t>
      </w:r>
      <w:proofErr w:type="spellEnd"/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</w:p>
    <w:p w:rsidR="00741DB9" w:rsidRPr="00602185" w:rsidRDefault="00741DB9" w:rsidP="00741DB9">
      <w:pPr>
        <w:pStyle w:val="Default"/>
        <w:jc w:val="center"/>
        <w:rPr>
          <w:b/>
          <w:color w:val="auto"/>
        </w:rPr>
      </w:pPr>
      <w:r w:rsidRPr="00602185">
        <w:rPr>
          <w:color w:val="auto"/>
        </w:rPr>
        <w:t>October, 2023</w:t>
      </w:r>
    </w:p>
    <w:p w:rsidR="00741DB9" w:rsidRPr="00602185" w:rsidRDefault="00741DB9" w:rsidP="00741DB9">
      <w:pPr>
        <w:rPr>
          <w:rFonts w:cs="Times New Roman"/>
          <w:b/>
          <w:szCs w:val="24"/>
        </w:rPr>
      </w:pPr>
      <w:r w:rsidRPr="00602185">
        <w:rPr>
          <w:b/>
        </w:rPr>
        <w:br w:type="page"/>
      </w:r>
    </w:p>
    <w:p w:rsidR="00741DB9" w:rsidRPr="00602185" w:rsidRDefault="00741DB9" w:rsidP="00741DB9">
      <w:pPr>
        <w:pStyle w:val="Default"/>
        <w:spacing w:line="276" w:lineRule="auto"/>
        <w:jc w:val="center"/>
        <w:outlineLvl w:val="0"/>
        <w:rPr>
          <w:b/>
          <w:color w:val="auto"/>
        </w:rPr>
      </w:pPr>
      <w:bookmarkStart w:id="0" w:name="_Toc139376883"/>
      <w:r w:rsidRPr="00602185">
        <w:rPr>
          <w:b/>
          <w:color w:val="auto"/>
        </w:rPr>
        <w:lastRenderedPageBreak/>
        <w:t>ABSTRACT</w:t>
      </w:r>
      <w:bookmarkEnd w:id="0"/>
    </w:p>
    <w:p w:rsidR="00741DB9" w:rsidRPr="00602185" w:rsidRDefault="00741DB9" w:rsidP="00741DB9">
      <w:pPr>
        <w:pStyle w:val="Default"/>
        <w:spacing w:line="480" w:lineRule="auto"/>
        <w:jc w:val="center"/>
        <w:rPr>
          <w:b/>
          <w:color w:val="auto"/>
        </w:rPr>
      </w:pPr>
    </w:p>
    <w:p w:rsidR="00741DB9" w:rsidRPr="00316D8C" w:rsidRDefault="00741DB9" w:rsidP="00741DB9">
      <w:pPr>
        <w:autoSpaceDE w:val="0"/>
        <w:autoSpaceDN w:val="0"/>
        <w:adjustRightInd w:val="0"/>
        <w:spacing w:after="0"/>
        <w:jc w:val="both"/>
        <w:rPr>
          <w:rFonts w:eastAsia="Calibri" w:cs="Times New Roman"/>
          <w:szCs w:val="24"/>
        </w:rPr>
      </w:pPr>
      <w:r w:rsidRPr="00316D8C">
        <w:rPr>
          <w:rFonts w:eastAsia="Calibri" w:cs="Times New Roman"/>
          <w:szCs w:val="24"/>
        </w:rPr>
        <w:t xml:space="preserve">Biodiesel is a renewable fuel that can readily replace </w:t>
      </w:r>
      <w:proofErr w:type="spellStart"/>
      <w:r w:rsidRPr="00316D8C">
        <w:rPr>
          <w:rFonts w:eastAsia="Calibri" w:cs="Times New Roman"/>
          <w:szCs w:val="24"/>
        </w:rPr>
        <w:t>petrodiesel</w:t>
      </w:r>
      <w:proofErr w:type="spellEnd"/>
      <w:r w:rsidRPr="00316D8C">
        <w:rPr>
          <w:rFonts w:eastAsia="Calibri" w:cs="Times New Roman"/>
          <w:szCs w:val="24"/>
        </w:rPr>
        <w:t xml:space="preserve"> in internal combustion engines and furnaces. However, it contains less energy density than </w:t>
      </w:r>
      <w:proofErr w:type="spellStart"/>
      <w:r w:rsidRPr="00316D8C">
        <w:rPr>
          <w:rFonts w:eastAsia="Calibri" w:cs="Times New Roman"/>
          <w:szCs w:val="24"/>
        </w:rPr>
        <w:t>petrodiesel</w:t>
      </w:r>
      <w:proofErr w:type="spellEnd"/>
      <w:r w:rsidRPr="00316D8C">
        <w:rPr>
          <w:rFonts w:eastAsia="Calibri" w:cs="Times New Roman"/>
          <w:szCs w:val="24"/>
        </w:rPr>
        <w:t xml:space="preserve">, which can be enhanced by adding energetic </w:t>
      </w:r>
      <w:proofErr w:type="spellStart"/>
      <w:r w:rsidRPr="00316D8C">
        <w:rPr>
          <w:rFonts w:eastAsia="Calibri" w:cs="Times New Roman"/>
          <w:szCs w:val="24"/>
        </w:rPr>
        <w:t>nanoparticles</w:t>
      </w:r>
      <w:proofErr w:type="spellEnd"/>
      <w:r w:rsidRPr="00316D8C">
        <w:rPr>
          <w:rFonts w:eastAsia="Calibri" w:cs="Times New Roman"/>
          <w:szCs w:val="24"/>
        </w:rPr>
        <w:t xml:space="preserve">. This study modelled the flow, heat transfer and evaporation characteristics of an isolated biodiesel surrogate (methyl </w:t>
      </w:r>
      <w:proofErr w:type="spellStart"/>
      <w:r w:rsidRPr="00316D8C">
        <w:rPr>
          <w:rFonts w:eastAsia="Calibri" w:cs="Times New Roman"/>
          <w:szCs w:val="24"/>
        </w:rPr>
        <w:t>decanoate</w:t>
      </w:r>
      <w:proofErr w:type="spellEnd"/>
      <w:r w:rsidRPr="00316D8C">
        <w:rPr>
          <w:rFonts w:eastAsia="Calibri" w:cs="Times New Roman"/>
          <w:szCs w:val="24"/>
        </w:rPr>
        <w:t>) droplet containing Al</w:t>
      </w:r>
      <w:r w:rsidRPr="00316D8C">
        <w:rPr>
          <w:rFonts w:eastAsia="Calibri" w:cs="Times New Roman"/>
          <w:szCs w:val="24"/>
          <w:vertAlign w:val="subscript"/>
        </w:rPr>
        <w:t>2</w:t>
      </w:r>
      <w:r w:rsidRPr="00316D8C">
        <w:rPr>
          <w:rFonts w:eastAsia="Calibri" w:cs="Times New Roman"/>
          <w:szCs w:val="24"/>
        </w:rPr>
        <w:t>O</w:t>
      </w:r>
      <w:r w:rsidRPr="00316D8C">
        <w:rPr>
          <w:rFonts w:eastAsia="Calibri" w:cs="Times New Roman"/>
          <w:szCs w:val="24"/>
          <w:vertAlign w:val="subscript"/>
        </w:rPr>
        <w:t>3</w:t>
      </w:r>
      <w:r w:rsidRPr="00316D8C">
        <w:rPr>
          <w:rFonts w:eastAsia="Calibri" w:cs="Times New Roman"/>
          <w:szCs w:val="24"/>
        </w:rPr>
        <w:t xml:space="preserve"> </w:t>
      </w:r>
      <w:proofErr w:type="spellStart"/>
      <w:r w:rsidRPr="00316D8C">
        <w:rPr>
          <w:rFonts w:eastAsia="Calibri" w:cs="Times New Roman"/>
          <w:szCs w:val="24"/>
        </w:rPr>
        <w:t>nanoparticles</w:t>
      </w:r>
      <w:proofErr w:type="spellEnd"/>
      <w:r w:rsidRPr="00316D8C">
        <w:rPr>
          <w:rFonts w:eastAsia="Calibri" w:cs="Times New Roman"/>
          <w:szCs w:val="24"/>
        </w:rPr>
        <w:t xml:space="preserve"> </w:t>
      </w:r>
      <w:proofErr w:type="spellStart"/>
      <w:r w:rsidRPr="00316D8C">
        <w:rPr>
          <w:rFonts w:eastAsia="Calibri" w:cs="Times New Roman"/>
          <w:szCs w:val="24"/>
        </w:rPr>
        <w:t>sedimenting</w:t>
      </w:r>
      <w:proofErr w:type="spellEnd"/>
      <w:r w:rsidRPr="00316D8C">
        <w:rPr>
          <w:rFonts w:eastAsia="Calibri" w:cs="Times New Roman"/>
          <w:szCs w:val="24"/>
        </w:rPr>
        <w:t xml:space="preserve"> in air. The effects of </w:t>
      </w:r>
      <w:proofErr w:type="spellStart"/>
      <w:r w:rsidRPr="00316D8C">
        <w:rPr>
          <w:rFonts w:eastAsia="Calibri" w:cs="Times New Roman"/>
          <w:szCs w:val="24"/>
        </w:rPr>
        <w:t>nanoparticle</w:t>
      </w:r>
      <w:proofErr w:type="spellEnd"/>
      <w:r w:rsidRPr="00316D8C">
        <w:rPr>
          <w:rFonts w:eastAsia="Calibri" w:cs="Times New Roman"/>
          <w:szCs w:val="24"/>
        </w:rPr>
        <w:t xml:space="preserve"> volume fraction (</w:t>
      </w:r>
      <w:r w:rsidRPr="00316D8C">
        <w:rPr>
          <w:rFonts w:ascii="Cambria Math" w:eastAsia="Calibri" w:hAnsi="Cambria Math" w:cs="Cambria Math"/>
          <w:szCs w:val="24"/>
        </w:rPr>
        <w:t xml:space="preserve">φ), </w:t>
      </w:r>
      <w:r w:rsidRPr="00316D8C">
        <w:rPr>
          <w:rFonts w:eastAsia="Calibri" w:cs="Times New Roman"/>
          <w:szCs w:val="24"/>
        </w:rPr>
        <w:t>Reynolds number (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) and evaporating temperatures in the range 0 to 0.1; 0.1 to 250; and 523 to 723 K, on flow vigour, </w:t>
      </w:r>
      <w:proofErr w:type="spellStart"/>
      <w:r w:rsidRPr="00316D8C">
        <w:rPr>
          <w:rFonts w:eastAsia="Calibri" w:cs="Times New Roman"/>
          <w:szCs w:val="24"/>
        </w:rPr>
        <w:t>Nusselt</w:t>
      </w:r>
      <w:proofErr w:type="spellEnd"/>
      <w:r w:rsidRPr="00316D8C">
        <w:rPr>
          <w:rFonts w:eastAsia="Calibri" w:cs="Times New Roman"/>
          <w:szCs w:val="24"/>
        </w:rPr>
        <w:t xml:space="preserve"> number (</w:t>
      </w:r>
      <w:r w:rsidRPr="00316D8C">
        <w:rPr>
          <w:rFonts w:eastAsia="Calibri" w:cs="Times New Roman"/>
          <w:i/>
          <w:szCs w:val="24"/>
        </w:rPr>
        <w:t>Nu</w:t>
      </w:r>
      <w:r w:rsidRPr="00316D8C">
        <w:rPr>
          <w:rFonts w:eastAsia="Calibri" w:cs="Times New Roman"/>
          <w:szCs w:val="24"/>
        </w:rPr>
        <w:t>), Sherwood number (</w:t>
      </w:r>
      <w:proofErr w:type="spellStart"/>
      <w:r w:rsidRPr="00316D8C">
        <w:rPr>
          <w:rFonts w:eastAsia="Calibri" w:cs="Times New Roman"/>
          <w:i/>
          <w:szCs w:val="24"/>
        </w:rPr>
        <w:t>Sh</w:t>
      </w:r>
      <w:proofErr w:type="spellEnd"/>
      <w:r w:rsidRPr="00316D8C">
        <w:rPr>
          <w:rFonts w:eastAsia="Calibri" w:cs="Times New Roman"/>
          <w:szCs w:val="24"/>
        </w:rPr>
        <w:t xml:space="preserve">) and droplet regression, respectively, were investigated. The influence of internal circulation on the modes of heat transfer during non-evaporative heating was also examined with the initial droplet and ambient temperatures of 300 and 400 K, respectively. The problem governing equations, including the continuity, momentum and energy, were </w:t>
      </w:r>
      <w:proofErr w:type="spellStart"/>
      <w:r w:rsidRPr="00316D8C">
        <w:rPr>
          <w:rFonts w:eastAsia="Calibri" w:cs="Times New Roman"/>
          <w:szCs w:val="24"/>
        </w:rPr>
        <w:t>discretized</w:t>
      </w:r>
      <w:proofErr w:type="spellEnd"/>
      <w:r w:rsidRPr="00316D8C">
        <w:rPr>
          <w:rFonts w:eastAsia="Calibri" w:cs="Times New Roman"/>
          <w:szCs w:val="24"/>
        </w:rPr>
        <w:t xml:space="preserve"> and solved using the finite volume method with ANSYS Fluent 18.1 while a MATLAB program was written for implementing the evaporation model. At the domain inlet, outlet, walls and centreline, the </w:t>
      </w:r>
      <w:proofErr w:type="spellStart"/>
      <w:r w:rsidRPr="00316D8C">
        <w:rPr>
          <w:rFonts w:eastAsia="Calibri" w:cs="Times New Roman"/>
          <w:szCs w:val="24"/>
        </w:rPr>
        <w:t>Dirichlet</w:t>
      </w:r>
      <w:proofErr w:type="spellEnd"/>
      <w:r w:rsidRPr="00316D8C">
        <w:rPr>
          <w:rFonts w:eastAsia="Calibri" w:cs="Times New Roman"/>
          <w:szCs w:val="24"/>
        </w:rPr>
        <w:t xml:space="preserve">, pressure outlet, Neumann and </w:t>
      </w:r>
      <w:proofErr w:type="spellStart"/>
      <w:r w:rsidRPr="00316D8C">
        <w:rPr>
          <w:rFonts w:eastAsia="Calibri" w:cs="Times New Roman"/>
          <w:szCs w:val="24"/>
        </w:rPr>
        <w:t>axisymmetric</w:t>
      </w:r>
      <w:proofErr w:type="spellEnd"/>
      <w:r w:rsidRPr="00316D8C">
        <w:rPr>
          <w:rFonts w:eastAsia="Calibri" w:cs="Times New Roman"/>
          <w:szCs w:val="24"/>
        </w:rPr>
        <w:t xml:space="preserve"> boundary conditions were imposed, respectively. User-defined functions were written in C++ to prescribe the continuity of tangential velocity and shear stress at the liquid-gas interface. A mesh consisting of 151423 nodes was chosen for the simulation after conducting a grid independence test. The validations of the drag, heat transfer and evaporation rates were in good agreement (±10%) with the experimental and numerical data obtained from literature for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up to 100. The droplet's internal flow structure was similar to the Hill’s vortex for all Reynolds numbers. At critical Reynolds number,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= 23.29, lung-shaped vortices were formed behind the droplet and grew in size with the increase in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. At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of 0.1, the isotherms inside the droplet were concentric about its centre, signifying pure diffusion. The isotherms within the </w:t>
      </w:r>
      <w:r w:rsidRPr="00316D8C">
        <w:rPr>
          <w:rFonts w:eastAsia="Calibri" w:cs="Times New Roman"/>
          <w:szCs w:val="24"/>
        </w:rPr>
        <w:lastRenderedPageBreak/>
        <w:t xml:space="preserve">droplet transformed from concentric circles at low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to two deformed cells at high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. There was an increase in </w:t>
      </w:r>
      <w:r w:rsidRPr="00316D8C">
        <w:rPr>
          <w:rFonts w:eastAsia="Calibri" w:cs="Times New Roman"/>
          <w:i/>
          <w:szCs w:val="24"/>
        </w:rPr>
        <w:t>Nu</w:t>
      </w:r>
      <w:r w:rsidRPr="00316D8C">
        <w:rPr>
          <w:rFonts w:eastAsia="Calibri" w:cs="Times New Roman"/>
          <w:szCs w:val="24"/>
        </w:rPr>
        <w:t xml:space="preserve"> by 8.56 and 110.64%; 15.96 and 41.78% when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increased from 0.1 to 50 and 250; and </w:t>
      </w:r>
      <w:r w:rsidRPr="00316D8C">
        <w:rPr>
          <w:rFonts w:ascii="Cambria Math" w:eastAsia="Calibri" w:hAnsi="Cambria Math" w:cs="Cambria Math"/>
          <w:szCs w:val="24"/>
        </w:rPr>
        <w:t>φ</w:t>
      </w:r>
      <w:r w:rsidRPr="00316D8C">
        <w:rPr>
          <w:rFonts w:eastAsia="Calibri" w:cs="Times New Roman"/>
          <w:szCs w:val="24"/>
        </w:rPr>
        <w:t xml:space="preserve"> from 0 to 0.02 and 0.1, respectively. The square of the droplet diameter regressed linearly at a faster rate with </w:t>
      </w:r>
      <w:r w:rsidRPr="00316D8C">
        <w:rPr>
          <w:rFonts w:eastAsia="Calibri" w:cs="Times New Roman"/>
          <w:szCs w:val="24"/>
          <w:lang w:val="en-US"/>
        </w:rPr>
        <w:t xml:space="preserve">the increase in </w:t>
      </w:r>
      <w:r w:rsidRPr="00316D8C">
        <w:rPr>
          <w:rFonts w:eastAsia="Calibri" w:cs="Times New Roman"/>
          <w:i/>
          <w:szCs w:val="24"/>
          <w:lang w:val="en-US"/>
        </w:rPr>
        <w:t>Re</w:t>
      </w:r>
      <w:r w:rsidRPr="00316D8C">
        <w:rPr>
          <w:rFonts w:eastAsia="Calibri" w:cs="Times New Roman"/>
          <w:szCs w:val="24"/>
          <w:lang w:val="en-US"/>
        </w:rPr>
        <w:t xml:space="preserve"> than </w:t>
      </w:r>
      <w:r w:rsidRPr="00316D8C">
        <w:rPr>
          <w:rFonts w:ascii="Cambria Math" w:eastAsia="Calibri" w:hAnsi="Cambria Math" w:cs="Cambria Math"/>
          <w:szCs w:val="24"/>
        </w:rPr>
        <w:t>φ</w:t>
      </w:r>
      <w:r w:rsidRPr="00316D8C">
        <w:rPr>
          <w:rFonts w:eastAsia="Calibri" w:cs="Times New Roman"/>
          <w:szCs w:val="24"/>
        </w:rPr>
        <w:t xml:space="preserve">, obeying the classical D-squared law during evaporation for all the cases considered. An increase in </w:t>
      </w:r>
      <w:r w:rsidRPr="00316D8C">
        <w:rPr>
          <w:rFonts w:ascii="Cambria Math" w:eastAsia="Calibri" w:hAnsi="Cambria Math" w:cs="Cambria Math"/>
          <w:szCs w:val="24"/>
        </w:rPr>
        <w:t>φ</w:t>
      </w:r>
      <w:r w:rsidRPr="00316D8C">
        <w:rPr>
          <w:rFonts w:eastAsia="Calibri" w:cs="Times New Roman"/>
          <w:szCs w:val="24"/>
        </w:rPr>
        <w:t xml:space="preserve"> from 0 to 0.04 enhanced the heat transfer during evaporation by 0.24 and 0.30% for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of 100 and 200, respectively. Sherwood numbers increased with increasing </w:t>
      </w:r>
      <w:r w:rsidRPr="00316D8C">
        <w:rPr>
          <w:rFonts w:ascii="Cambria Math" w:eastAsia="Calibri" w:hAnsi="Cambria Math" w:cs="Cambria Math"/>
          <w:szCs w:val="24"/>
        </w:rPr>
        <w:t>φ</w:t>
      </w:r>
      <w:r w:rsidRPr="00316D8C">
        <w:rPr>
          <w:rFonts w:eastAsia="Calibri" w:cs="Times New Roman"/>
          <w:szCs w:val="24"/>
        </w:rPr>
        <w:t xml:space="preserve"> for non-isothermal droplet evaporation but did not surpass 0.1%. The reduction in evaporation time for </w:t>
      </w:r>
      <w:r w:rsidRPr="00316D8C">
        <w:rPr>
          <w:rFonts w:ascii="Cambria Math" w:eastAsia="Calibri" w:hAnsi="Cambria Math" w:cs="Cambria Math"/>
          <w:szCs w:val="24"/>
        </w:rPr>
        <w:t>φ</w:t>
      </w:r>
      <w:r w:rsidRPr="00316D8C">
        <w:rPr>
          <w:rFonts w:eastAsia="Calibri" w:cs="Times New Roman"/>
          <w:szCs w:val="24"/>
        </w:rPr>
        <w:t xml:space="preserve"> of 0.04 and 0.1 at </w:t>
      </w:r>
      <w:r w:rsidRPr="00316D8C">
        <w:rPr>
          <w:rFonts w:eastAsia="Calibri" w:cs="Times New Roman"/>
          <w:i/>
          <w:szCs w:val="24"/>
        </w:rPr>
        <w:t>Re</w:t>
      </w:r>
      <w:r w:rsidRPr="00316D8C">
        <w:rPr>
          <w:rFonts w:eastAsia="Calibri" w:cs="Times New Roman"/>
          <w:szCs w:val="24"/>
        </w:rPr>
        <w:t xml:space="preserve"> of 100 were 1.66 and 1.20% respectively. Heat transfer enhancements were observed with the addition of Al</w:t>
      </w:r>
      <w:r w:rsidRPr="00316D8C">
        <w:rPr>
          <w:rFonts w:eastAsia="Calibri" w:cs="Times New Roman"/>
          <w:szCs w:val="24"/>
          <w:vertAlign w:val="subscript"/>
        </w:rPr>
        <w:t>2</w:t>
      </w:r>
      <w:r w:rsidRPr="00316D8C">
        <w:rPr>
          <w:rFonts w:eastAsia="Calibri" w:cs="Times New Roman"/>
          <w:szCs w:val="24"/>
        </w:rPr>
        <w:t>O</w:t>
      </w:r>
      <w:r w:rsidRPr="00316D8C">
        <w:rPr>
          <w:rFonts w:eastAsia="Calibri" w:cs="Times New Roman"/>
          <w:szCs w:val="24"/>
          <w:vertAlign w:val="subscript"/>
        </w:rPr>
        <w:t>3</w:t>
      </w:r>
      <w:r w:rsidRPr="00316D8C">
        <w:rPr>
          <w:rFonts w:eastAsia="Calibri" w:cs="Times New Roman"/>
          <w:szCs w:val="24"/>
        </w:rPr>
        <w:t xml:space="preserve"> </w:t>
      </w:r>
      <w:proofErr w:type="spellStart"/>
      <w:r w:rsidRPr="00316D8C">
        <w:rPr>
          <w:rFonts w:eastAsia="Calibri" w:cs="Times New Roman"/>
          <w:szCs w:val="24"/>
        </w:rPr>
        <w:t>nanoparticles</w:t>
      </w:r>
      <w:proofErr w:type="spellEnd"/>
      <w:r w:rsidRPr="00316D8C">
        <w:rPr>
          <w:rFonts w:eastAsia="Calibri" w:cs="Times New Roman"/>
          <w:szCs w:val="24"/>
        </w:rPr>
        <w:t xml:space="preserve"> in methyl </w:t>
      </w:r>
      <w:proofErr w:type="spellStart"/>
      <w:r w:rsidRPr="00316D8C">
        <w:rPr>
          <w:rFonts w:eastAsia="Calibri" w:cs="Times New Roman"/>
          <w:szCs w:val="24"/>
        </w:rPr>
        <w:t>decanoate</w:t>
      </w:r>
      <w:proofErr w:type="spellEnd"/>
      <w:r w:rsidRPr="00316D8C">
        <w:rPr>
          <w:rFonts w:eastAsia="Calibri" w:cs="Times New Roman"/>
          <w:szCs w:val="24"/>
        </w:rPr>
        <w:t>, while the changes in flow and mass transfer characteristics were marginal. The modelling and simulation of the evaporation characteristics of an isolated Al</w:t>
      </w:r>
      <w:r w:rsidRPr="00316D8C">
        <w:rPr>
          <w:rFonts w:eastAsia="Calibri" w:cs="Times New Roman"/>
          <w:szCs w:val="24"/>
          <w:vertAlign w:val="subscript"/>
        </w:rPr>
        <w:t>2</w:t>
      </w:r>
      <w:r w:rsidRPr="00316D8C">
        <w:rPr>
          <w:rFonts w:eastAsia="Calibri" w:cs="Times New Roman"/>
          <w:szCs w:val="24"/>
        </w:rPr>
        <w:t>O</w:t>
      </w:r>
      <w:r w:rsidRPr="00316D8C">
        <w:rPr>
          <w:rFonts w:eastAsia="Calibri" w:cs="Times New Roman"/>
          <w:szCs w:val="24"/>
          <w:vertAlign w:val="subscript"/>
        </w:rPr>
        <w:t xml:space="preserve">3 </w:t>
      </w:r>
      <w:proofErr w:type="spellStart"/>
      <w:r w:rsidRPr="00316D8C">
        <w:rPr>
          <w:rFonts w:eastAsia="Calibri" w:cs="Times New Roman"/>
          <w:szCs w:val="24"/>
        </w:rPr>
        <w:t>nanoparticles</w:t>
      </w:r>
      <w:proofErr w:type="spellEnd"/>
      <w:r w:rsidRPr="00316D8C">
        <w:rPr>
          <w:rFonts w:eastAsia="Calibri" w:cs="Times New Roman"/>
          <w:szCs w:val="24"/>
        </w:rPr>
        <w:t xml:space="preserve">-biodiesel surrogate droplet showed enhanced performance. </w:t>
      </w:r>
    </w:p>
    <w:p w:rsidR="00102130" w:rsidRPr="00741DB9" w:rsidRDefault="00102130" w:rsidP="00741DB9">
      <w:pPr>
        <w:jc w:val="both"/>
        <w:rPr>
          <w:rFonts w:cs="Times New Roman"/>
          <w:b/>
          <w:szCs w:val="24"/>
        </w:rPr>
      </w:pPr>
    </w:p>
    <w:sectPr w:rsidR="00102130" w:rsidRPr="00741DB9" w:rsidSect="001021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1DB9"/>
    <w:rsid w:val="00102130"/>
    <w:rsid w:val="00741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DB9"/>
    <w:pPr>
      <w:spacing w:after="120" w:line="480" w:lineRule="auto"/>
    </w:pPr>
    <w:rPr>
      <w:rFonts w:ascii="Times New Roman" w:hAnsi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41D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546</Words>
  <Characters>3115</Characters>
  <Application>Microsoft Office Word</Application>
  <DocSecurity>0</DocSecurity>
  <Lines>25</Lines>
  <Paragraphs>7</Paragraphs>
  <ScaleCrop>false</ScaleCrop>
  <Company/>
  <LinksUpToDate>false</LinksUpToDate>
  <CharactersWithSpaces>3654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2025-11-26T10:26:00Z</dcterms:created>
  <dcterms:modified xsi:type="dcterms:W3CDTF">2025-11-26T10:28:00Z</dcterms:modified>
</cp:coreProperties>
</file>